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rPr/>
      </w:pPr>
      <w:bookmarkStart w:id="0" w:name="_Toc443397153"/>
      <w:bookmarkStart w:id="1" w:name="_Toc400361362"/>
      <w:r>
        <w:rPr/>
        <w:t>Music development plan summary</w:t>
      </w:r>
      <w:bookmarkStart w:id="2" w:name="_Toc443397154"/>
      <w:bookmarkStart w:id="3" w:name="_Toc400361364"/>
      <w:bookmarkStart w:id="4" w:name="_Toc364864309"/>
      <w:bookmarkStart w:id="5" w:name="_Toc364840099"/>
      <w:bookmarkStart w:id="6" w:name="_Toc364235834"/>
      <w:bookmarkStart w:id="7" w:name="_Toc364235752"/>
      <w:bookmarkStart w:id="8" w:name="_Toc364235708"/>
      <w:bookmarkStart w:id="9" w:name="_Toc361136403"/>
      <w:bookmarkStart w:id="10" w:name="_Toc338167830"/>
      <w:bookmarkEnd w:id="0"/>
      <w:bookmarkEnd w:id="1"/>
      <w:r>
        <w:rPr/>
        <w:t>:</w:t>
        <w:br/>
      </w:r>
      <w:r>
        <w:rPr/>
        <w:t>St Josephs RC Primary School, Lancaster</w:t>
      </w:r>
      <w:bookmarkEnd w:id="2"/>
      <w:bookmarkEnd w:id="3"/>
      <w:bookmarkEnd w:id="4"/>
      <w:bookmarkEnd w:id="5"/>
      <w:bookmarkEnd w:id="6"/>
      <w:bookmarkEnd w:id="7"/>
      <w:bookmarkEnd w:id="8"/>
      <w:bookmarkEnd w:id="9"/>
      <w:bookmarkEnd w:id="10"/>
    </w:p>
    <w:p>
      <w:pPr>
        <w:pStyle w:val="Normal"/>
        <w:rPr>
          <w:color w:val="2A6099"/>
          <w:sz w:val="36"/>
          <w:szCs w:val="36"/>
        </w:rPr>
      </w:pPr>
      <w:r>
        <w:rPr>
          <w:color w:val="2A6099"/>
          <w:sz w:val="36"/>
          <w:szCs w:val="36"/>
        </w:rPr>
        <w:t>Overview</w:t>
      </w:r>
    </w:p>
    <w:tbl>
      <w:tblPr>
        <w:tblW w:w="5000" w:type="pct"/>
        <w:jc w:val="left"/>
        <w:tblInd w:w="0" w:type="dxa"/>
        <w:tblLayout w:type="fixed"/>
        <w:tblCellMar>
          <w:top w:w="0" w:type="dxa"/>
          <w:left w:w="108" w:type="dxa"/>
          <w:bottom w:w="0" w:type="dxa"/>
          <w:right w:w="108" w:type="dxa"/>
        </w:tblCellMar>
        <w:tblLook w:firstRow="0" w:noVBand="0" w:lastRow="0" w:firstColumn="0" w:lastColumn="0" w:noHBand="0" w:val="0000"/>
      </w:tblPr>
      <w:tblGrid>
        <w:gridCol w:w="5529"/>
        <w:gridCol w:w="3966"/>
      </w:tblGrid>
      <w:tr>
        <w:trPr/>
        <w:tc>
          <w:tcPr>
            <w:tcW w:w="5529" w:type="dxa"/>
            <w:tcBorders>
              <w:top w:val="single" w:sz="4" w:space="0" w:color="000000"/>
              <w:left w:val="single" w:sz="4" w:space="0" w:color="000000"/>
              <w:bottom w:val="single" w:sz="4" w:space="0" w:color="000000"/>
              <w:right w:val="single" w:sz="4" w:space="0" w:color="000000"/>
            </w:tcBorders>
            <w:shd w:color="auto" w:fill="CFDCE3" w:val="clear"/>
          </w:tcPr>
          <w:p>
            <w:pPr>
              <w:pStyle w:val="TableHeader"/>
              <w:spacing w:before="60" w:after="60"/>
              <w:jc w:val="left"/>
              <w:rPr/>
            </w:pPr>
            <w:r>
              <w:rPr/>
              <w:t>Detail</w:t>
            </w:r>
          </w:p>
        </w:tc>
        <w:tc>
          <w:tcPr>
            <w:tcW w:w="3966" w:type="dxa"/>
            <w:tcBorders>
              <w:top w:val="single" w:sz="4" w:space="0" w:color="000000"/>
              <w:left w:val="single" w:sz="4" w:space="0" w:color="000000"/>
              <w:bottom w:val="single" w:sz="4" w:space="0" w:color="000000"/>
              <w:right w:val="single" w:sz="4" w:space="0" w:color="000000"/>
            </w:tcBorders>
            <w:shd w:color="auto" w:fill="CFDCE3" w:val="clear"/>
          </w:tcPr>
          <w:p>
            <w:pPr>
              <w:pStyle w:val="TableHeader"/>
              <w:spacing w:before="60" w:after="60"/>
              <w:jc w:val="left"/>
              <w:rPr/>
            </w:pPr>
            <w:r>
              <w:rPr/>
              <w:t>Information</w:t>
            </w:r>
          </w:p>
        </w:tc>
      </w:tr>
      <w:tr>
        <w:trPr/>
        <w:tc>
          <w:tcPr>
            <w:tcW w:w="5529" w:type="dxa"/>
            <w:tcBorders>
              <w:top w:val="single" w:sz="4" w:space="0" w:color="000000"/>
              <w:left w:val="single" w:sz="4" w:space="0" w:color="000000"/>
              <w:bottom w:val="single" w:sz="4" w:space="0" w:color="000000"/>
              <w:right w:val="single" w:sz="4" w:space="0" w:color="000000"/>
            </w:tcBorders>
            <w:shd w:color="auto" w:fill="auto" w:val="clear"/>
          </w:tcPr>
          <w:p>
            <w:pPr>
              <w:pStyle w:val="TableRow"/>
              <w:widowControl/>
              <w:suppressAutoHyphens w:val="true"/>
              <w:bidi w:val="0"/>
              <w:spacing w:before="60" w:after="60"/>
              <w:ind w:left="57" w:right="57"/>
              <w:jc w:val="left"/>
              <w:rPr/>
            </w:pPr>
            <w:r>
              <w:rPr/>
              <w:t>Academic year that this summary covers</w:t>
            </w:r>
          </w:p>
        </w:tc>
        <w:tc>
          <w:tcPr>
            <w:tcW w:w="3966" w:type="dxa"/>
            <w:tcBorders>
              <w:top w:val="single" w:sz="4" w:space="0" w:color="000000"/>
              <w:left w:val="single" w:sz="4" w:space="0" w:color="000000"/>
              <w:bottom w:val="single" w:sz="4" w:space="0" w:color="000000"/>
              <w:right w:val="single" w:sz="4" w:space="0" w:color="000000"/>
            </w:tcBorders>
            <w:shd w:color="auto" w:fill="auto" w:val="clear"/>
          </w:tcPr>
          <w:p>
            <w:pPr>
              <w:pStyle w:val="TableRow"/>
              <w:spacing w:before="60" w:after="60"/>
              <w:rPr/>
            </w:pPr>
            <w:r>
              <w:rPr/>
              <w:t>Sept 25 – July 26</w:t>
            </w:r>
          </w:p>
        </w:tc>
      </w:tr>
      <w:tr>
        <w:trPr/>
        <w:tc>
          <w:tcPr>
            <w:tcW w:w="5529" w:type="dxa"/>
            <w:tcBorders>
              <w:top w:val="single" w:sz="4" w:space="0" w:color="000000"/>
              <w:left w:val="single" w:sz="4" w:space="0" w:color="000000"/>
              <w:bottom w:val="single" w:sz="4" w:space="0" w:color="000000"/>
              <w:right w:val="single" w:sz="4" w:space="0" w:color="000000"/>
            </w:tcBorders>
            <w:shd w:color="auto" w:fill="auto" w:val="clear"/>
          </w:tcPr>
          <w:p>
            <w:pPr>
              <w:pStyle w:val="TableRow"/>
              <w:widowControl/>
              <w:suppressAutoHyphens w:val="true"/>
              <w:bidi w:val="0"/>
              <w:spacing w:before="60" w:after="60"/>
              <w:ind w:left="57" w:right="57"/>
              <w:jc w:val="left"/>
              <w:rPr/>
            </w:pPr>
            <w:r>
              <w:rPr>
                <w:szCs w:val="22"/>
              </w:rPr>
              <w:t>Date this summary was published</w:t>
            </w:r>
          </w:p>
        </w:tc>
        <w:tc>
          <w:tcPr>
            <w:tcW w:w="3966" w:type="dxa"/>
            <w:tcBorders>
              <w:top w:val="single" w:sz="4" w:space="0" w:color="000000"/>
              <w:left w:val="single" w:sz="4" w:space="0" w:color="000000"/>
              <w:bottom w:val="single" w:sz="4" w:space="0" w:color="000000"/>
              <w:right w:val="single" w:sz="4" w:space="0" w:color="000000"/>
            </w:tcBorders>
            <w:shd w:color="auto" w:fill="auto" w:val="clear"/>
          </w:tcPr>
          <w:p>
            <w:pPr>
              <w:pStyle w:val="TableRow"/>
              <w:spacing w:before="60" w:after="60"/>
              <w:rPr/>
            </w:pPr>
            <w:r>
              <w:rPr/>
              <w:t>Sept 25</w:t>
            </w:r>
          </w:p>
        </w:tc>
      </w:tr>
      <w:tr>
        <w:trPr/>
        <w:tc>
          <w:tcPr>
            <w:tcW w:w="5529" w:type="dxa"/>
            <w:tcBorders>
              <w:top w:val="single" w:sz="4" w:space="0" w:color="000000"/>
              <w:left w:val="single" w:sz="4" w:space="0" w:color="000000"/>
              <w:bottom w:val="single" w:sz="4" w:space="0" w:color="000000"/>
              <w:right w:val="single" w:sz="4" w:space="0" w:color="000000"/>
            </w:tcBorders>
            <w:shd w:color="auto" w:fill="auto" w:val="clear"/>
          </w:tcPr>
          <w:p>
            <w:pPr>
              <w:pStyle w:val="TableRow"/>
              <w:widowControl/>
              <w:suppressAutoHyphens w:val="true"/>
              <w:bidi w:val="0"/>
              <w:spacing w:before="60" w:after="60"/>
              <w:ind w:left="57" w:right="57"/>
              <w:jc w:val="left"/>
              <w:rPr/>
            </w:pPr>
            <w:r>
              <w:rPr>
                <w:szCs w:val="22"/>
              </w:rPr>
              <w:t>Date this summary will be reviewed</w:t>
            </w:r>
          </w:p>
        </w:tc>
        <w:tc>
          <w:tcPr>
            <w:tcW w:w="3966" w:type="dxa"/>
            <w:tcBorders>
              <w:top w:val="single" w:sz="4" w:space="0" w:color="000000"/>
              <w:left w:val="single" w:sz="4" w:space="0" w:color="000000"/>
              <w:bottom w:val="single" w:sz="4" w:space="0" w:color="000000"/>
              <w:right w:val="single" w:sz="4" w:space="0" w:color="000000"/>
            </w:tcBorders>
            <w:shd w:color="auto" w:fill="auto" w:val="clear"/>
          </w:tcPr>
          <w:p>
            <w:pPr>
              <w:pStyle w:val="TableRow"/>
              <w:spacing w:before="60" w:after="60"/>
              <w:rPr/>
            </w:pPr>
            <w:r>
              <w:rPr/>
              <w:t>Sept 26</w:t>
            </w:r>
          </w:p>
        </w:tc>
      </w:tr>
      <w:tr>
        <w:trPr/>
        <w:tc>
          <w:tcPr>
            <w:tcW w:w="5529" w:type="dxa"/>
            <w:tcBorders>
              <w:top w:val="single" w:sz="4" w:space="0" w:color="000000"/>
              <w:left w:val="single" w:sz="4" w:space="0" w:color="000000"/>
              <w:bottom w:val="single" w:sz="4" w:space="0" w:color="000000"/>
              <w:right w:val="single" w:sz="4" w:space="0" w:color="000000"/>
            </w:tcBorders>
            <w:shd w:color="auto" w:fill="auto" w:val="clear"/>
          </w:tcPr>
          <w:p>
            <w:pPr>
              <w:pStyle w:val="TableRow"/>
              <w:widowControl/>
              <w:suppressAutoHyphens w:val="true"/>
              <w:bidi w:val="0"/>
              <w:spacing w:before="60" w:after="60"/>
              <w:ind w:left="57" w:right="57"/>
              <w:jc w:val="left"/>
              <w:rPr/>
            </w:pPr>
            <w:r>
              <w:rPr/>
              <w:t>Name of the school music lead</w:t>
            </w:r>
          </w:p>
        </w:tc>
        <w:tc>
          <w:tcPr>
            <w:tcW w:w="3966" w:type="dxa"/>
            <w:tcBorders>
              <w:top w:val="single" w:sz="4" w:space="0" w:color="000000"/>
              <w:left w:val="single" w:sz="4" w:space="0" w:color="000000"/>
              <w:bottom w:val="single" w:sz="4" w:space="0" w:color="000000"/>
              <w:right w:val="single" w:sz="4" w:space="0" w:color="000000"/>
            </w:tcBorders>
            <w:shd w:color="auto" w:fill="auto" w:val="clear"/>
          </w:tcPr>
          <w:p>
            <w:pPr>
              <w:pStyle w:val="TableRow"/>
              <w:spacing w:before="60" w:after="60"/>
              <w:rPr/>
            </w:pPr>
            <w:r>
              <w:rPr/>
              <w:t>Ceri Hamer</w:t>
            </w:r>
          </w:p>
        </w:tc>
      </w:tr>
      <w:tr>
        <w:trPr/>
        <w:tc>
          <w:tcPr>
            <w:tcW w:w="5529" w:type="dxa"/>
            <w:tcBorders>
              <w:top w:val="single" w:sz="4" w:space="0" w:color="000000"/>
              <w:left w:val="single" w:sz="4" w:space="0" w:color="000000"/>
              <w:bottom w:val="single" w:sz="4" w:space="0" w:color="000000"/>
              <w:right w:val="single" w:sz="4" w:space="0" w:color="000000"/>
            </w:tcBorders>
            <w:shd w:color="auto" w:fill="auto" w:val="clear"/>
          </w:tcPr>
          <w:p>
            <w:pPr>
              <w:pStyle w:val="TableRow"/>
              <w:widowControl/>
              <w:suppressAutoHyphens w:val="true"/>
              <w:bidi w:val="0"/>
              <w:spacing w:before="60" w:after="60"/>
              <w:ind w:left="57" w:right="57"/>
              <w:jc w:val="left"/>
              <w:rPr/>
            </w:pPr>
            <w:r>
              <w:rPr/>
              <w:t>Name of school leadership team member with responsibility for music (if different)</w:t>
            </w:r>
          </w:p>
        </w:tc>
        <w:tc>
          <w:tcPr>
            <w:tcW w:w="3966" w:type="dxa"/>
            <w:tcBorders>
              <w:top w:val="single" w:sz="4" w:space="0" w:color="000000"/>
              <w:left w:val="single" w:sz="4" w:space="0" w:color="000000"/>
              <w:bottom w:val="single" w:sz="4" w:space="0" w:color="000000"/>
              <w:right w:val="single" w:sz="4" w:space="0" w:color="000000"/>
            </w:tcBorders>
            <w:shd w:color="auto" w:fill="auto" w:val="clear"/>
          </w:tcPr>
          <w:p>
            <w:pPr>
              <w:pStyle w:val="TableRow"/>
              <w:spacing w:before="60" w:after="60"/>
              <w:rPr/>
            </w:pPr>
            <w:r>
              <w:rPr/>
              <w:t>Ceri Hamer</w:t>
            </w:r>
          </w:p>
        </w:tc>
      </w:tr>
      <w:tr>
        <w:trPr/>
        <w:tc>
          <w:tcPr>
            <w:tcW w:w="5529" w:type="dxa"/>
            <w:tcBorders>
              <w:top w:val="single" w:sz="4" w:space="0" w:color="000000"/>
              <w:left w:val="single" w:sz="4" w:space="0" w:color="000000"/>
              <w:bottom w:val="single" w:sz="4" w:space="0" w:color="000000"/>
              <w:right w:val="single" w:sz="4" w:space="0" w:color="000000"/>
            </w:tcBorders>
            <w:shd w:color="auto" w:fill="auto" w:val="clear"/>
          </w:tcPr>
          <w:p>
            <w:pPr>
              <w:pStyle w:val="TableRow"/>
              <w:widowControl/>
              <w:suppressAutoHyphens w:val="true"/>
              <w:bidi w:val="0"/>
              <w:spacing w:before="60" w:after="60"/>
              <w:ind w:left="57" w:right="57"/>
              <w:jc w:val="left"/>
              <w:rPr/>
            </w:pPr>
            <w:r>
              <w:rPr/>
              <w:t xml:space="preserve">Name of local music hub </w:t>
            </w:r>
          </w:p>
        </w:tc>
        <w:tc>
          <w:tcPr>
            <w:tcW w:w="3966" w:type="dxa"/>
            <w:tcBorders>
              <w:top w:val="single" w:sz="4" w:space="0" w:color="000000"/>
              <w:left w:val="single" w:sz="4" w:space="0" w:color="000000"/>
              <w:bottom w:val="single" w:sz="4" w:space="0" w:color="000000"/>
              <w:right w:val="single" w:sz="4" w:space="0" w:color="000000"/>
            </w:tcBorders>
            <w:shd w:color="auto" w:fill="auto" w:val="clear"/>
          </w:tcPr>
          <w:p>
            <w:pPr>
              <w:pStyle w:val="TableRow"/>
              <w:spacing w:before="60" w:after="60"/>
              <w:rPr/>
            </w:pPr>
            <w:r>
              <w:rPr/>
              <w:t>LCC</w:t>
            </w:r>
          </w:p>
        </w:tc>
      </w:tr>
      <w:tr>
        <w:trPr/>
        <w:tc>
          <w:tcPr>
            <w:tcW w:w="5529" w:type="dxa"/>
            <w:tcBorders>
              <w:top w:val="single" w:sz="4" w:space="0" w:color="000000"/>
              <w:left w:val="single" w:sz="4" w:space="0" w:color="000000"/>
              <w:bottom w:val="single" w:sz="4" w:space="0" w:color="000000"/>
              <w:right w:val="single" w:sz="4" w:space="0" w:color="000000"/>
            </w:tcBorders>
            <w:shd w:color="auto" w:fill="auto" w:val="clear"/>
          </w:tcPr>
          <w:p>
            <w:pPr>
              <w:pStyle w:val="TableRow"/>
              <w:widowControl/>
              <w:suppressAutoHyphens w:val="true"/>
              <w:bidi w:val="0"/>
              <w:spacing w:before="60" w:after="60"/>
              <w:ind w:left="57" w:right="57"/>
              <w:jc w:val="left"/>
              <w:rPr/>
            </w:pPr>
            <w:r>
              <w:rPr/>
              <w:t xml:space="preserve">Name of other music education organisation(s) (if partnership in place) </w:t>
            </w:r>
          </w:p>
        </w:tc>
        <w:tc>
          <w:tcPr>
            <w:tcW w:w="3966" w:type="dxa"/>
            <w:tcBorders>
              <w:top w:val="single" w:sz="4" w:space="0" w:color="000000"/>
              <w:left w:val="single" w:sz="4" w:space="0" w:color="000000"/>
              <w:bottom w:val="single" w:sz="4" w:space="0" w:color="000000"/>
              <w:right w:val="single" w:sz="4" w:space="0" w:color="000000"/>
            </w:tcBorders>
            <w:shd w:color="auto" w:fill="auto" w:val="clear"/>
          </w:tcPr>
          <w:p>
            <w:pPr>
              <w:pStyle w:val="TableRow"/>
              <w:spacing w:before="60" w:after="60"/>
              <w:rPr/>
            </w:pPr>
            <w:bookmarkStart w:id="11" w:name="_Toc328122777"/>
            <w:bookmarkStart w:id="12" w:name="_Toc346793416"/>
            <w:bookmarkStart w:id="13" w:name="_Toc357771638"/>
            <w:bookmarkEnd w:id="11"/>
            <w:bookmarkEnd w:id="12"/>
            <w:bookmarkEnd w:id="13"/>
            <w:r>
              <w:rPr/>
              <w:t>Sing up</w:t>
            </w:r>
          </w:p>
        </w:tc>
      </w:tr>
    </w:tbl>
    <w:p>
      <w:pPr>
        <w:pStyle w:val="Normal"/>
        <w:rPr/>
      </w:pPr>
      <w:r>
        <w:rPr/>
      </w:r>
    </w:p>
    <w:p>
      <w:pPr>
        <w:pStyle w:val="Normal"/>
        <w:rPr/>
      </w:pPr>
      <w:r>
        <w:rPr/>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pPr>
        <w:pStyle w:val="Heading2"/>
        <w:spacing w:before="600" w:after="240"/>
        <w:rPr/>
      </w:pPr>
      <w:r>
        <w:rPr/>
        <w:t>Part A: Curriculum music</w:t>
      </w:r>
    </w:p>
    <w:p>
      <w:pPr>
        <w:pStyle w:val="Normal"/>
        <w:rPr/>
      </w:pPr>
      <w:r>
        <w:rPr/>
        <w:t>This is about what we teach in lesson time, how much time is spent teaching music and any music qualifications or awards that pupils can achieve.</w:t>
      </w:r>
    </w:p>
    <w:tbl>
      <w:tblPr>
        <w:tblW w:w="9486" w:type="dxa"/>
        <w:jc w:val="left"/>
        <w:tblInd w:w="0" w:type="dxa"/>
        <w:tblLayout w:type="fixed"/>
        <w:tblCellMar>
          <w:top w:w="0" w:type="dxa"/>
          <w:left w:w="108" w:type="dxa"/>
          <w:bottom w:w="0" w:type="dxa"/>
          <w:right w:w="108" w:type="dxa"/>
        </w:tblCellMar>
        <w:tblLook w:firstRow="0" w:noVBand="0" w:lastRow="0" w:firstColumn="0" w:lastColumn="0" w:noHBand="0" w:val="0000"/>
      </w:tblPr>
      <w:tblGrid>
        <w:gridCol w:w="9486"/>
      </w:tblGrid>
      <w:tr>
        <w:trPr/>
        <w:tc>
          <w:tcPr>
            <w:tcW w:w="9486"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left"/>
              <w:rPr/>
            </w:pPr>
            <w:r>
              <w:rPr>
                <w:b w:val="false"/>
                <w:bCs w:val="false"/>
                <w:u w:val="none"/>
              </w:rPr>
              <w:t xml:space="preserve">Our school music curriculum is based on the </w:t>
            </w:r>
            <w:r>
              <w:rPr>
                <w:b w:val="false"/>
                <w:bCs w:val="false"/>
                <w:u w:val="none"/>
              </w:rPr>
              <w:t xml:space="preserve">Sing Up </w:t>
            </w:r>
            <w:r>
              <w:rPr>
                <w:b w:val="false"/>
                <w:bCs w:val="false"/>
                <w:u w:val="none"/>
              </w:rPr>
              <w:t>scheme of work from N – Y6. The long term plan follows a one year cycle.</w:t>
            </w:r>
            <w:r>
              <w:rPr>
                <w:b w:val="false"/>
                <w:bCs w:val="false"/>
                <w:u w:val="none"/>
                <w:shd w:fill="auto" w:val="clear"/>
              </w:rPr>
              <w:t xml:space="preserve"> </w:t>
            </w:r>
            <w:r>
              <w:rPr>
                <w:b w:val="false"/>
                <w:i w:val="false"/>
                <w:caps w:val="false"/>
                <w:smallCaps w:val="false"/>
                <w:spacing w:val="0"/>
                <w:shd w:fill="auto" w:val="clear"/>
              </w:rPr>
              <w:t>Children are exposed to a wide variety of different music styles, composers, time periods, genres, cultures and traditions, and are involved in a listening and appraising element during each lesson, allowing them to express their feelings, understanding,</w:t>
            </w:r>
            <w:r>
              <w:rPr>
                <w:shd w:fill="auto" w:val="clear"/>
              </w:rPr>
              <w:br/>
            </w:r>
            <w:r>
              <w:rPr>
                <w:b w:val="false"/>
                <w:i w:val="false"/>
                <w:caps w:val="false"/>
                <w:smallCaps w:val="false"/>
                <w:spacing w:val="0"/>
                <w:shd w:fill="auto" w:val="clear"/>
              </w:rPr>
              <w:t>likes/dislikes for a variety of different pieces of music.</w:t>
            </w:r>
            <w:r>
              <w:rPr>
                <w:shd w:fill="auto" w:val="clear"/>
              </w:rPr>
              <w:t xml:space="preserve">   </w:t>
            </w:r>
          </w:p>
          <w:p>
            <w:pPr>
              <w:pStyle w:val="Normal"/>
              <w:jc w:val="left"/>
              <w:rPr>
                <w:rFonts w:cs="Arial"/>
                <w:highlight w:val="none"/>
                <w:shd w:fill="auto" w:val="clear"/>
              </w:rPr>
            </w:pPr>
            <w:r>
              <w:rPr>
                <w:rFonts w:cs="Arial"/>
                <w:shd w:fill="auto" w:val="clear"/>
              </w:rPr>
              <w:t>T</w:t>
            </w:r>
            <w:r>
              <w:rPr>
                <w:rFonts w:cs="Arial"/>
                <w:shd w:fill="auto" w:val="clear"/>
              </w:rPr>
              <w:t>he curriculum is designed to show progression in the following areas:-</w:t>
            </w:r>
          </w:p>
          <w:p>
            <w:pPr>
              <w:pStyle w:val="Normal"/>
              <w:numPr>
                <w:ilvl w:val="0"/>
                <w:numId w:val="13"/>
              </w:numPr>
              <w:spacing w:lineRule="auto" w:line="72"/>
              <w:jc w:val="left"/>
              <w:rPr>
                <w:highlight w:val="none"/>
                <w:shd w:fill="auto" w:val="clear"/>
              </w:rPr>
            </w:pPr>
            <w:r>
              <w:rPr>
                <w:shd w:fill="auto" w:val="clear"/>
              </w:rPr>
              <w:t>appraising</w:t>
            </w:r>
          </w:p>
          <w:p>
            <w:pPr>
              <w:pStyle w:val="Normal"/>
              <w:numPr>
                <w:ilvl w:val="0"/>
                <w:numId w:val="13"/>
              </w:numPr>
              <w:spacing w:lineRule="auto" w:line="72"/>
              <w:jc w:val="left"/>
              <w:rPr>
                <w:highlight w:val="none"/>
                <w:shd w:fill="auto" w:val="clear"/>
              </w:rPr>
            </w:pPr>
            <w:r>
              <w:rPr>
                <w:shd w:fill="auto" w:val="clear"/>
              </w:rPr>
              <w:t>listening</w:t>
            </w:r>
          </w:p>
          <w:p>
            <w:pPr>
              <w:pStyle w:val="Normal"/>
              <w:numPr>
                <w:ilvl w:val="0"/>
                <w:numId w:val="13"/>
              </w:numPr>
              <w:spacing w:lineRule="auto" w:line="72"/>
              <w:jc w:val="left"/>
              <w:rPr>
                <w:highlight w:val="none"/>
                <w:shd w:fill="auto" w:val="clear"/>
              </w:rPr>
            </w:pPr>
            <w:r>
              <w:rPr>
                <w:shd w:fill="auto" w:val="clear"/>
              </w:rPr>
              <w:t>singing</w:t>
            </w:r>
          </w:p>
          <w:p>
            <w:pPr>
              <w:pStyle w:val="Normal"/>
              <w:numPr>
                <w:ilvl w:val="0"/>
                <w:numId w:val="13"/>
              </w:numPr>
              <w:spacing w:lineRule="auto" w:line="72"/>
              <w:jc w:val="left"/>
              <w:rPr>
                <w:highlight w:val="none"/>
                <w:shd w:fill="auto" w:val="clear"/>
              </w:rPr>
            </w:pPr>
            <w:r>
              <w:rPr>
                <w:shd w:fill="auto" w:val="clear"/>
              </w:rPr>
              <w:t>notation</w:t>
            </w:r>
          </w:p>
          <w:p>
            <w:pPr>
              <w:pStyle w:val="Normal"/>
              <w:spacing w:lineRule="auto" w:line="72"/>
              <w:jc w:val="left"/>
              <w:rPr>
                <w:highlight w:val="none"/>
                <w:shd w:fill="auto" w:val="clear"/>
              </w:rPr>
            </w:pPr>
            <w:r>
              <w:rPr>
                <w:shd w:fill="auto" w:val="clear"/>
              </w:rPr>
            </w:r>
          </w:p>
          <w:p>
            <w:pPr>
              <w:pStyle w:val="Normal"/>
              <w:numPr>
                <w:ilvl w:val="0"/>
                <w:numId w:val="13"/>
              </w:numPr>
              <w:spacing w:lineRule="auto" w:line="72"/>
              <w:jc w:val="left"/>
              <w:rPr>
                <w:highlight w:val="none"/>
                <w:shd w:fill="auto" w:val="clear"/>
              </w:rPr>
            </w:pPr>
            <w:r>
              <w:rPr>
                <w:shd w:fill="auto" w:val="clear"/>
              </w:rPr>
              <w:t>playing instruments</w:t>
            </w:r>
          </w:p>
          <w:p>
            <w:pPr>
              <w:pStyle w:val="Normal"/>
              <w:numPr>
                <w:ilvl w:val="0"/>
                <w:numId w:val="13"/>
              </w:numPr>
              <w:spacing w:lineRule="auto" w:line="72"/>
              <w:jc w:val="left"/>
              <w:rPr>
                <w:highlight w:val="none"/>
                <w:shd w:fill="auto" w:val="clear"/>
              </w:rPr>
            </w:pPr>
            <w:r>
              <w:rPr>
                <w:shd w:fill="auto" w:val="clear"/>
              </w:rPr>
              <w:t xml:space="preserve">improvising and composing </w:t>
            </w:r>
          </w:p>
          <w:p>
            <w:pPr>
              <w:pStyle w:val="Normal"/>
              <w:numPr>
                <w:ilvl w:val="0"/>
                <w:numId w:val="13"/>
              </w:numPr>
              <w:spacing w:lineRule="auto" w:line="72"/>
              <w:jc w:val="left"/>
              <w:rPr>
                <w:highlight w:val="none"/>
                <w:shd w:fill="auto" w:val="clear"/>
              </w:rPr>
            </w:pPr>
            <w:r>
              <w:rPr>
                <w:shd w:fill="auto" w:val="clear"/>
              </w:rPr>
              <w:t xml:space="preserve">performing </w:t>
            </w:r>
          </w:p>
          <w:p>
            <w:pPr>
              <w:pStyle w:val="Normal"/>
              <w:jc w:val="left"/>
              <w:rPr>
                <w:b/>
                <w:bCs/>
                <w:u w:val="single"/>
                <w:shd w:fill="auto" w:val="clear"/>
              </w:rPr>
            </w:pPr>
            <w:r>
              <w:rPr>
                <w:b/>
                <w:bCs/>
                <w:u w:val="single"/>
                <w:shd w:fill="auto" w:val="clear"/>
              </w:rPr>
              <w:t>Teaching of Music</w:t>
            </w:r>
          </w:p>
          <w:p>
            <w:pPr>
              <w:pStyle w:val="Normal"/>
              <w:numPr>
                <w:ilvl w:val="0"/>
                <w:numId w:val="15"/>
              </w:numPr>
              <w:spacing w:lineRule="auto" w:line="192"/>
              <w:jc w:val="left"/>
              <w:rPr/>
            </w:pPr>
            <w:r>
              <w:rPr>
                <w:b w:val="false"/>
                <w:bCs w:val="false"/>
                <w:u w:val="none"/>
                <w:shd w:fill="auto" w:val="clear"/>
              </w:rPr>
              <w:t>Adaptations from the scheme can be made by the class teacher</w:t>
            </w:r>
          </w:p>
          <w:p>
            <w:pPr>
              <w:pStyle w:val="Normal"/>
              <w:numPr>
                <w:ilvl w:val="0"/>
                <w:numId w:val="14"/>
              </w:numPr>
              <w:spacing w:lineRule="auto" w:line="192"/>
              <w:jc w:val="left"/>
              <w:rPr>
                <w:b w:val="false"/>
                <w:bCs w:val="false"/>
                <w:u w:val="none"/>
                <w:shd w:fill="auto" w:val="clear"/>
              </w:rPr>
            </w:pPr>
            <w:r>
              <w:rPr>
                <w:b w:val="false"/>
                <w:bCs w:val="false"/>
                <w:u w:val="none"/>
                <w:shd w:fill="auto" w:val="clear"/>
              </w:rPr>
              <w:t>All pupils are encouraged to take part in and enjoy music lessons</w:t>
            </w:r>
          </w:p>
          <w:p>
            <w:pPr>
              <w:pStyle w:val="Normal"/>
              <w:numPr>
                <w:ilvl w:val="0"/>
                <w:numId w:val="14"/>
              </w:numPr>
              <w:spacing w:lineRule="auto" w:line="192"/>
              <w:jc w:val="left"/>
              <w:rPr>
                <w:b w:val="false"/>
                <w:bCs w:val="false"/>
                <w:u w:val="none"/>
                <w:shd w:fill="auto" w:val="clear"/>
              </w:rPr>
            </w:pPr>
            <w:r>
              <w:rPr>
                <w:b w:val="false"/>
                <w:bCs w:val="false"/>
                <w:u w:val="none"/>
                <w:shd w:fill="auto" w:val="clear"/>
              </w:rPr>
              <w:t>Children will have the opportunities to work individually, in pairs and in groups during music lessons</w:t>
            </w:r>
          </w:p>
          <w:p>
            <w:pPr>
              <w:pStyle w:val="Normal"/>
              <w:numPr>
                <w:ilvl w:val="0"/>
                <w:numId w:val="14"/>
              </w:numPr>
              <w:spacing w:lineRule="auto" w:line="192"/>
              <w:jc w:val="left"/>
              <w:rPr>
                <w:b w:val="false"/>
                <w:bCs w:val="false"/>
                <w:u w:val="none"/>
                <w:shd w:fill="auto" w:val="clear"/>
              </w:rPr>
            </w:pPr>
            <w:r>
              <w:rPr>
                <w:b w:val="false"/>
                <w:bCs w:val="false"/>
                <w:u w:val="none"/>
                <w:shd w:fill="auto" w:val="clear"/>
              </w:rPr>
              <w:t>Music lessons are an opportunity for SEND pupils to build confidence as success is not linked to academic ability</w:t>
            </w:r>
          </w:p>
          <w:p>
            <w:pPr>
              <w:pStyle w:val="Normal"/>
              <w:numPr>
                <w:ilvl w:val="0"/>
                <w:numId w:val="14"/>
              </w:numPr>
              <w:spacing w:lineRule="auto" w:line="192"/>
              <w:jc w:val="left"/>
              <w:rPr>
                <w:b w:val="false"/>
                <w:bCs w:val="false"/>
                <w:u w:val="none"/>
                <w:shd w:fill="auto" w:val="clear"/>
              </w:rPr>
            </w:pPr>
            <w:r>
              <w:rPr>
                <w:b w:val="false"/>
                <w:bCs w:val="false"/>
                <w:u w:val="none"/>
                <w:shd w:fill="auto" w:val="clear"/>
              </w:rPr>
              <w:t>Talented pupils will be signposted to further musical opportunities within the local district</w:t>
            </w:r>
          </w:p>
          <w:p>
            <w:pPr>
              <w:pStyle w:val="Normal"/>
              <w:numPr>
                <w:ilvl w:val="0"/>
                <w:numId w:val="14"/>
              </w:numPr>
              <w:spacing w:lineRule="auto" w:line="192"/>
              <w:jc w:val="left"/>
              <w:rPr>
                <w:b w:val="false"/>
                <w:bCs w:val="false"/>
                <w:u w:val="none"/>
                <w:shd w:fill="auto" w:val="clear"/>
              </w:rPr>
            </w:pPr>
            <w:r>
              <w:rPr>
                <w:b w:val="false"/>
                <w:bCs w:val="false"/>
                <w:u w:val="none"/>
                <w:shd w:fill="auto" w:val="clear"/>
              </w:rPr>
              <w:t>Musical achievements will be celebrated in assemblies, performances, productions and annual talent show</w:t>
            </w:r>
          </w:p>
          <w:p>
            <w:pPr>
              <w:pStyle w:val="Normal"/>
              <w:numPr>
                <w:ilvl w:val="0"/>
                <w:numId w:val="14"/>
              </w:numPr>
              <w:spacing w:lineRule="auto" w:line="192"/>
              <w:jc w:val="left"/>
              <w:rPr>
                <w:b w:val="false"/>
                <w:bCs w:val="false"/>
                <w:u w:val="none"/>
                <w:shd w:fill="auto" w:val="clear"/>
              </w:rPr>
            </w:pPr>
            <w:r>
              <w:rPr>
                <w:b w:val="false"/>
                <w:bCs w:val="false"/>
                <w:u w:val="none"/>
                <w:shd w:fill="auto" w:val="clear"/>
              </w:rPr>
              <w:t>Children will have access to a range of tuned and untuned percussion instruments</w:t>
            </w:r>
          </w:p>
          <w:p>
            <w:pPr>
              <w:pStyle w:val="Normal"/>
              <w:spacing w:lineRule="auto" w:line="192" w:before="0" w:after="240"/>
              <w:jc w:val="left"/>
              <w:rPr>
                <w:b w:val="false"/>
                <w:bCs w:val="false"/>
                <w:u w:val="none"/>
                <w:shd w:fill="auto" w:val="clear"/>
              </w:rPr>
            </w:pPr>
            <w:r>
              <w:rPr>
                <w:b w:val="false"/>
                <w:bCs w:val="false"/>
                <w:u w:val="none"/>
                <w:shd w:fill="auto" w:val="clear"/>
              </w:rPr>
            </w:r>
          </w:p>
        </w:tc>
      </w:tr>
    </w:tbl>
    <w:p>
      <w:pPr>
        <w:pStyle w:val="Heading2"/>
        <w:spacing w:before="600" w:after="240"/>
        <w:rPr/>
      </w:pPr>
      <w:r>
        <w:rPr/>
        <w:t>Part B: Co-curricular music</w:t>
      </w:r>
    </w:p>
    <w:p>
      <w:pPr>
        <w:pStyle w:val="Normal"/>
        <w:rPr/>
      </w:pPr>
      <w:r>
        <w:rPr/>
        <w:t>This is about opportunities for pupils to sing and play music, outside of lesson time, including choirs, ensembles and bands, and how pupils can make progress in music beyond the core curriculum.</w:t>
      </w:r>
    </w:p>
    <w:tbl>
      <w:tblPr>
        <w:tblW w:w="9486" w:type="dxa"/>
        <w:jc w:val="left"/>
        <w:tblInd w:w="0" w:type="dxa"/>
        <w:tblLayout w:type="fixed"/>
        <w:tblCellMar>
          <w:top w:w="0" w:type="dxa"/>
          <w:left w:w="108" w:type="dxa"/>
          <w:bottom w:w="0" w:type="dxa"/>
          <w:right w:w="108" w:type="dxa"/>
        </w:tblCellMar>
        <w:tblLook w:firstRow="0" w:noVBand="0" w:lastRow="0" w:firstColumn="0" w:lastColumn="0" w:noHBand="0" w:val="0000"/>
      </w:tblPr>
      <w:tblGrid>
        <w:gridCol w:w="9486"/>
      </w:tblGrid>
      <w:tr>
        <w:trPr/>
        <w:tc>
          <w:tcPr>
            <w:tcW w:w="9486"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ind w:hanging="0" w:left="0"/>
              <w:jc w:val="left"/>
              <w:rPr>
                <w:b/>
                <w:bCs/>
                <w:u w:val="single"/>
                <w:shd w:fill="auto" w:val="clear"/>
              </w:rPr>
            </w:pPr>
            <w:r>
              <w:rPr>
                <w:b/>
                <w:bCs/>
                <w:u w:val="single"/>
                <w:shd w:fill="auto" w:val="clear"/>
              </w:rPr>
              <w:t>Extra Curricular Music</w:t>
            </w:r>
          </w:p>
          <w:p>
            <w:pPr>
              <w:pStyle w:val="Normal"/>
              <w:numPr>
                <w:ilvl w:val="0"/>
                <w:numId w:val="0"/>
              </w:numPr>
              <w:ind w:hanging="0" w:left="0"/>
              <w:jc w:val="left"/>
              <w:rPr>
                <w:b w:val="false"/>
                <w:bCs w:val="false"/>
                <w:u w:val="none"/>
                <w:shd w:fill="auto" w:val="clear"/>
              </w:rPr>
            </w:pPr>
            <w:r>
              <w:rPr>
                <w:b w:val="false"/>
                <w:bCs w:val="false"/>
                <w:u w:val="none"/>
                <w:shd w:fill="auto" w:val="clear"/>
              </w:rPr>
              <w:t>Pupils at St Josephs Catholic Primary school have the opportunity to take part in the following musical opportunities outside of music lessons:-</w:t>
            </w:r>
          </w:p>
          <w:p>
            <w:pPr>
              <w:pStyle w:val="Normal"/>
              <w:numPr>
                <w:ilvl w:val="0"/>
                <w:numId w:val="12"/>
              </w:numPr>
              <w:ind w:hanging="0" w:left="0"/>
              <w:jc w:val="left"/>
              <w:rPr>
                <w:b w:val="false"/>
                <w:bCs w:val="false"/>
                <w:u w:val="none"/>
                <w:shd w:fill="auto" w:val="clear"/>
              </w:rPr>
            </w:pPr>
            <w:r>
              <w:rPr>
                <w:b w:val="false"/>
                <w:bCs w:val="false"/>
                <w:u w:val="none"/>
                <w:shd w:fill="auto" w:val="clear"/>
              </w:rPr>
              <w:t>Choir</w:t>
            </w:r>
          </w:p>
          <w:p>
            <w:pPr>
              <w:pStyle w:val="Normal"/>
              <w:numPr>
                <w:ilvl w:val="0"/>
                <w:numId w:val="0"/>
              </w:numPr>
              <w:ind w:hanging="0" w:left="0"/>
              <w:jc w:val="left"/>
              <w:rPr>
                <w:b w:val="false"/>
                <w:bCs w:val="false"/>
                <w:u w:val="none"/>
                <w:shd w:fill="auto" w:val="clear"/>
              </w:rPr>
            </w:pPr>
            <w:r>
              <w:rPr>
                <w:b w:val="false"/>
                <w:bCs w:val="false"/>
                <w:u w:val="none"/>
                <w:shd w:fill="auto" w:val="clear"/>
              </w:rPr>
            </w:r>
          </w:p>
          <w:p>
            <w:pPr>
              <w:pStyle w:val="Normal"/>
              <w:spacing w:before="0" w:after="240"/>
              <w:ind w:hanging="0" w:left="0"/>
              <w:jc w:val="left"/>
              <w:rPr>
                <w:b w:val="false"/>
                <w:bCs w:val="false"/>
                <w:u w:val="none"/>
                <w:shd w:fill="auto" w:val="clear"/>
              </w:rPr>
            </w:pPr>
            <w:r>
              <w:rPr>
                <w:b w:val="false"/>
                <w:bCs w:val="false"/>
                <w:u w:val="none"/>
                <w:shd w:fill="auto" w:val="clear"/>
              </w:rPr>
            </w:r>
          </w:p>
        </w:tc>
      </w:tr>
    </w:tbl>
    <w:p>
      <w:pPr>
        <w:pStyle w:val="Heading2"/>
        <w:spacing w:before="600" w:after="240"/>
        <w:rPr/>
      </w:pPr>
      <w:r>
        <w:rPr/>
        <w:t>Part C: Musical experiences</w:t>
      </w:r>
    </w:p>
    <w:p>
      <w:pPr>
        <w:pStyle w:val="Normal"/>
        <w:rPr/>
      </w:pPr>
      <w:r>
        <w:rPr/>
        <w:t>This is about all the other musical events and opportunities that we organise, such as singing in assembly, concerts and shows, and trips to professional concerts.</w:t>
      </w:r>
    </w:p>
    <w:tbl>
      <w:tblPr>
        <w:tblW w:w="9486" w:type="dxa"/>
        <w:jc w:val="left"/>
        <w:tblInd w:w="0" w:type="dxa"/>
        <w:tblLayout w:type="fixed"/>
        <w:tblCellMar>
          <w:top w:w="0" w:type="dxa"/>
          <w:left w:w="108" w:type="dxa"/>
          <w:bottom w:w="0" w:type="dxa"/>
          <w:right w:w="108" w:type="dxa"/>
        </w:tblCellMar>
        <w:tblLook w:firstRow="0" w:noVBand="0" w:lastRow="0" w:firstColumn="0" w:lastColumn="0" w:noHBand="0" w:val="0000"/>
      </w:tblPr>
      <w:tblGrid>
        <w:gridCol w:w="9486"/>
      </w:tblGrid>
      <w:tr>
        <w:trPr/>
        <w:tc>
          <w:tcPr>
            <w:tcW w:w="9486"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ind w:hanging="0" w:left="0"/>
              <w:jc w:val="left"/>
              <w:rPr>
                <w:b/>
                <w:bCs/>
                <w:u w:val="single"/>
                <w:shd w:fill="auto" w:val="clear"/>
              </w:rPr>
            </w:pPr>
            <w:r>
              <w:rPr>
                <w:b/>
                <w:bCs/>
                <w:u w:val="single"/>
                <w:shd w:fill="auto" w:val="clear"/>
              </w:rPr>
              <w:t>Musical Experiences</w:t>
            </w:r>
          </w:p>
          <w:p>
            <w:pPr>
              <w:pStyle w:val="Normal"/>
              <w:ind w:hanging="0" w:left="0"/>
              <w:jc w:val="left"/>
              <w:rPr>
                <w:b w:val="false"/>
                <w:bCs w:val="false"/>
                <w:u w:val="none"/>
                <w:shd w:fill="auto" w:val="clear"/>
              </w:rPr>
            </w:pPr>
            <w:r>
              <w:rPr>
                <w:b w:val="false"/>
                <w:bCs w:val="false"/>
                <w:u w:val="none"/>
                <w:shd w:fill="auto" w:val="clear"/>
              </w:rPr>
              <w:t>Pupils at St Josephs Catholic Primary school have the opportunity to take part in the following musical opportunities outside of music lessons:-</w:t>
            </w:r>
          </w:p>
          <w:p>
            <w:pPr>
              <w:pStyle w:val="Normal"/>
              <w:numPr>
                <w:ilvl w:val="0"/>
                <w:numId w:val="16"/>
              </w:numPr>
              <w:jc w:val="left"/>
              <w:rPr/>
            </w:pPr>
            <w:r>
              <w:rPr>
                <w:b w:val="false"/>
                <w:bCs w:val="false"/>
                <w:u w:val="none"/>
                <w:shd w:fill="auto" w:val="clear"/>
              </w:rPr>
              <w:t>Young Voices</w:t>
            </w:r>
          </w:p>
          <w:p>
            <w:pPr>
              <w:pStyle w:val="Normal"/>
              <w:numPr>
                <w:ilvl w:val="0"/>
                <w:numId w:val="12"/>
              </w:numPr>
              <w:ind w:hanging="0" w:left="0"/>
              <w:jc w:val="left"/>
              <w:rPr>
                <w:b w:val="false"/>
                <w:bCs w:val="false"/>
                <w:u w:val="none"/>
                <w:shd w:fill="auto" w:val="clear"/>
              </w:rPr>
            </w:pPr>
            <w:r>
              <w:rPr>
                <w:b w:val="false"/>
                <w:bCs w:val="false"/>
                <w:u w:val="none"/>
                <w:shd w:fill="auto" w:val="clear"/>
              </w:rPr>
              <w:t>Lancaster and Morecambe Music Festival</w:t>
            </w:r>
          </w:p>
          <w:p>
            <w:pPr>
              <w:pStyle w:val="Normal"/>
              <w:numPr>
                <w:ilvl w:val="0"/>
                <w:numId w:val="12"/>
              </w:numPr>
              <w:ind w:hanging="0" w:left="0"/>
              <w:jc w:val="left"/>
              <w:rPr>
                <w:b w:val="false"/>
                <w:bCs w:val="false"/>
                <w:u w:val="none"/>
                <w:shd w:fill="auto" w:val="clear"/>
              </w:rPr>
            </w:pPr>
            <w:r>
              <w:rPr>
                <w:b w:val="false"/>
                <w:bCs w:val="false"/>
                <w:u w:val="none"/>
                <w:shd w:fill="auto" w:val="clear"/>
              </w:rPr>
              <w:t xml:space="preserve">Theatre performances </w:t>
            </w:r>
          </w:p>
          <w:p>
            <w:pPr>
              <w:pStyle w:val="Normal"/>
              <w:numPr>
                <w:ilvl w:val="0"/>
                <w:numId w:val="12"/>
              </w:numPr>
              <w:ind w:hanging="0" w:left="0"/>
              <w:jc w:val="left"/>
              <w:rPr>
                <w:b w:val="false"/>
                <w:bCs w:val="false"/>
                <w:u w:val="none"/>
                <w:shd w:fill="auto" w:val="clear"/>
              </w:rPr>
            </w:pPr>
            <w:r>
              <w:rPr>
                <w:b w:val="false"/>
                <w:bCs w:val="false"/>
                <w:u w:val="none"/>
                <w:shd w:fill="auto" w:val="clear"/>
              </w:rPr>
              <w:t xml:space="preserve">Church services </w:t>
            </w:r>
          </w:p>
          <w:p>
            <w:pPr>
              <w:pStyle w:val="Normal"/>
              <w:numPr>
                <w:ilvl w:val="0"/>
                <w:numId w:val="12"/>
              </w:numPr>
              <w:ind w:hanging="0" w:left="0"/>
              <w:jc w:val="left"/>
              <w:rPr>
                <w:b w:val="false"/>
                <w:bCs w:val="false"/>
                <w:u w:val="none"/>
                <w:shd w:fill="auto" w:val="clear"/>
              </w:rPr>
            </w:pPr>
            <w:r>
              <w:rPr>
                <w:b w:val="false"/>
                <w:bCs w:val="false"/>
                <w:u w:val="none"/>
                <w:shd w:fill="auto" w:val="clear"/>
              </w:rPr>
              <w:t>Singing within the local community</w:t>
            </w:r>
          </w:p>
          <w:p>
            <w:pPr>
              <w:pStyle w:val="Normal"/>
              <w:numPr>
                <w:ilvl w:val="0"/>
                <w:numId w:val="12"/>
              </w:numPr>
              <w:spacing w:before="0" w:after="240"/>
              <w:ind w:hanging="0" w:left="0"/>
              <w:jc w:val="left"/>
              <w:rPr>
                <w:b w:val="false"/>
                <w:bCs w:val="false"/>
                <w:u w:val="none"/>
                <w:shd w:fill="auto" w:val="clear"/>
              </w:rPr>
            </w:pPr>
            <w:r>
              <w:rPr>
                <w:rFonts w:cs="Arial"/>
                <w:b w:val="false"/>
                <w:bCs w:val="false"/>
                <w:u w:val="none"/>
                <w:shd w:fill="auto" w:val="clear"/>
                <w:lang w:eastAsia="en-US"/>
              </w:rPr>
              <w:t>Composer/ Musician of the term in assemblies</w:t>
            </w:r>
          </w:p>
        </w:tc>
      </w:tr>
    </w:tbl>
    <w:p>
      <w:pPr>
        <w:pStyle w:val="Heading2"/>
        <w:tabs>
          <w:tab w:val="clear" w:pos="720"/>
          <w:tab w:val="left" w:pos="8034" w:leader="none"/>
        </w:tabs>
        <w:spacing w:before="600" w:after="240"/>
        <w:rPr/>
      </w:pPr>
      <w:r>
        <w:rPr/>
        <w:t>In the future</w:t>
      </w:r>
    </w:p>
    <w:p>
      <w:pPr>
        <w:pStyle w:val="Normal"/>
        <w:rPr/>
      </w:pPr>
      <w:r>
        <w:rPr/>
        <w:t>This is about what the school is planning for subsequent years.</w:t>
      </w:r>
    </w:p>
    <w:tbl>
      <w:tblPr>
        <w:tblW w:w="9486" w:type="dxa"/>
        <w:jc w:val="left"/>
        <w:tblInd w:w="0" w:type="dxa"/>
        <w:tblLayout w:type="fixed"/>
        <w:tblCellMar>
          <w:top w:w="0" w:type="dxa"/>
          <w:left w:w="108" w:type="dxa"/>
          <w:bottom w:w="0" w:type="dxa"/>
          <w:right w:w="108" w:type="dxa"/>
        </w:tblCellMar>
        <w:tblLook w:firstRow="0" w:noVBand="0" w:lastRow="0" w:firstColumn="0" w:lastColumn="0" w:noHBand="0" w:val="0000"/>
      </w:tblPr>
      <w:tblGrid>
        <w:gridCol w:w="9486"/>
      </w:tblGrid>
      <w:tr>
        <w:trPr/>
        <w:tc>
          <w:tcPr>
            <w:tcW w:w="9486"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left"/>
              <w:rPr>
                <w:b/>
                <w:bCs/>
                <w:u w:val="single"/>
                <w:shd w:fill="auto" w:val="clear"/>
              </w:rPr>
            </w:pPr>
            <w:r>
              <w:rPr>
                <w:b/>
                <w:bCs/>
                <w:u w:val="single"/>
                <w:shd w:fill="auto" w:val="clear"/>
              </w:rPr>
              <w:t>Future Planning</w:t>
            </w:r>
          </w:p>
          <w:p>
            <w:pPr>
              <w:pStyle w:val="Normal"/>
              <w:jc w:val="left"/>
              <w:rPr>
                <w:b w:val="false"/>
                <w:bCs w:val="false"/>
                <w:u w:val="none"/>
                <w:shd w:fill="auto" w:val="clear"/>
              </w:rPr>
            </w:pPr>
            <w:r>
              <w:rPr>
                <w:b w:val="false"/>
                <w:bCs w:val="false"/>
                <w:u w:val="none"/>
                <w:shd w:fill="auto" w:val="clear"/>
              </w:rPr>
              <w:t>The school aims to improve its music provision by :-</w:t>
            </w:r>
          </w:p>
          <w:p>
            <w:pPr>
              <w:pStyle w:val="Normal"/>
              <w:numPr>
                <w:ilvl w:val="0"/>
                <w:numId w:val="18"/>
              </w:numPr>
              <w:jc w:val="left"/>
              <w:rPr/>
            </w:pPr>
            <w:r>
              <w:rPr>
                <w:b w:val="false"/>
                <w:bCs w:val="false"/>
                <w:u w:val="none"/>
                <w:shd w:fill="auto" w:val="clear"/>
              </w:rPr>
              <w:t>Increasing the number of singing opportunities outside of the school</w:t>
            </w:r>
          </w:p>
          <w:p>
            <w:pPr>
              <w:pStyle w:val="Normal"/>
              <w:numPr>
                <w:ilvl w:val="0"/>
                <w:numId w:val="17"/>
              </w:numPr>
              <w:jc w:val="left"/>
              <w:rPr>
                <w:b w:val="false"/>
                <w:bCs w:val="false"/>
                <w:u w:val="none"/>
                <w:shd w:fill="auto" w:val="clear"/>
              </w:rPr>
            </w:pPr>
            <w:r>
              <w:rPr>
                <w:b w:val="false"/>
                <w:bCs w:val="false"/>
                <w:u w:val="none"/>
                <w:shd w:fill="auto" w:val="clear"/>
              </w:rPr>
              <w:t>Increase opportunities for pupils to learn a wider variety of instruments</w:t>
            </w:r>
          </w:p>
          <w:p>
            <w:pPr>
              <w:pStyle w:val="Normal"/>
              <w:numPr>
                <w:ilvl w:val="0"/>
                <w:numId w:val="17"/>
              </w:numPr>
              <w:spacing w:before="0" w:after="240"/>
              <w:jc w:val="left"/>
              <w:rPr>
                <w:b w:val="false"/>
                <w:bCs w:val="false"/>
                <w:u w:val="none"/>
                <w:shd w:fill="auto" w:val="clear"/>
              </w:rPr>
            </w:pPr>
            <w:r>
              <w:rPr>
                <w:rFonts w:cs="Arial"/>
                <w:b w:val="false"/>
                <w:bCs w:val="false"/>
                <w:u w:val="none"/>
                <w:shd w:fill="auto" w:val="clear"/>
              </w:rPr>
              <w:t>M</w:t>
            </w:r>
            <w:r>
              <w:rPr>
                <w:rFonts w:cs="Arial"/>
                <w:b w:val="false"/>
                <w:bCs w:val="false"/>
                <w:u w:val="none"/>
                <w:shd w:fill="auto" w:val="clear"/>
              </w:rPr>
              <w:t xml:space="preserve">onitoring the engagement and enjoyment of music by pupils </w:t>
            </w:r>
            <w:r>
              <w:rPr>
                <w:rFonts w:cs="Arial"/>
                <w:b w:val="false"/>
                <w:bCs w:val="false"/>
                <w:u w:val="none"/>
                <w:shd w:fill="auto" w:val="clear"/>
              </w:rPr>
              <w:t>to inform and develop other opportunities</w:t>
            </w:r>
          </w:p>
        </w:tc>
      </w:tr>
    </w:tbl>
    <w:p>
      <w:pPr>
        <w:pStyle w:val="Heading2"/>
        <w:spacing w:before="600" w:after="240"/>
        <w:rPr/>
      </w:pPr>
      <w:r>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134" w:right="1276" w:gutter="0" w:header="709" w:top="1134" w:footer="709"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variable"/>
  </w:font>
  <w:font w:name="Cambria">
    <w:charset w:val="00"/>
    <w:family w:val="roman"/>
    <w:pitch w:val="variable"/>
  </w:font>
  <w:font w:name="Tahoma">
    <w:charset w:val="00"/>
    <w:family w:val="swiss"/>
    <w:pitch w:val="variable"/>
  </w:font>
  <w:font w:name="OpenSymbol">
    <w:altName w:val="Arial Unicode MS"/>
    <w:charset w:val="02"/>
    <w:family w:val="auto"/>
    <w:pitch w:val="default"/>
  </w:font>
  <w:font w:name="Wingdings">
    <w:charset w:val="02"/>
    <w:family w:val="auto"/>
    <w:pitch w:val="variable"/>
  </w:font>
  <w:font w:name="Courier New">
    <w:charset w:val="01"/>
    <w:family w:val="modern"/>
    <w:pitch w:val="fixed"/>
  </w:font>
  <w:font w:name="Marlett">
    <w:charset w:val="02"/>
    <w:family w:val="auto"/>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firstLine="4513"/>
      <w:rPr/>
    </w:pPr>
    <w:r>
      <w:rPr/>
      <w:fldChar w:fldCharType="begin"/>
    </w:r>
    <w:r>
      <w:rPr/>
      <w:instrText xml:space="preserve"> PAGE </w:instrText>
    </w:r>
    <w:r>
      <w:rPr/>
      <w:fldChar w:fldCharType="separate"/>
    </w:r>
    <w:r>
      <w:rPr/>
      <w:t>3</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firstLine="4513"/>
      <w:rPr/>
    </w:pPr>
    <w:r>
      <w:rPr/>
      <w:fldChar w:fldCharType="begin"/>
    </w:r>
    <w:r>
      <w:rPr/>
      <w:instrText xml:space="preserve"> PAGE </w:instrText>
    </w:r>
    <w:r>
      <w:rPr/>
      <w:fldChar w:fldCharType="separate"/>
    </w:r>
    <w:r>
      <w:rPr/>
      <w:t>3</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0"/>
        </w:tabs>
        <w:ind w:left="0" w:hanging="0"/>
      </w:pPr>
      <w:rPr/>
    </w:lvl>
    <w:lvl w:ilvl="1">
      <w:start w:val="1"/>
      <w:numFmt w:val="none"/>
      <w:suff w:val="nothing"/>
      <w:lvlText w:val="%2"/>
      <w:lvlJc w:val="left"/>
      <w:pPr>
        <w:tabs>
          <w:tab w:val="num" w:pos="0"/>
        </w:tabs>
        <w:ind w:left="0" w:hanging="0"/>
      </w:pPr>
      <w:rPr/>
    </w:lvl>
    <w:lvl w:ilvl="2">
      <w:start w:val="1"/>
      <w:numFmt w:val="none"/>
      <w:suff w:val="nothing"/>
      <w:lvlText w:val="%3"/>
      <w:lvlJc w:val="left"/>
      <w:pPr>
        <w:tabs>
          <w:tab w:val="num" w:pos="0"/>
        </w:tabs>
        <w:ind w:left="0" w:hanging="0"/>
      </w:pPr>
      <w:rPr/>
    </w:lvl>
    <w:lvl w:ilvl="3">
      <w:start w:val="1"/>
      <w:numFmt w:val="none"/>
      <w:suff w:val="nothing"/>
      <w:lvlText w:val="%4"/>
      <w:lvlJc w:val="left"/>
      <w:pPr>
        <w:tabs>
          <w:tab w:val="num" w:pos="0"/>
        </w:tabs>
        <w:ind w:left="0" w:hanging="0"/>
      </w:pPr>
      <w:rPr/>
    </w:lvl>
    <w:lvl w:ilvl="4">
      <w:start w:val="1"/>
      <w:pStyle w:val="Heading5"/>
      <w:numFmt w:val="decimal"/>
      <w:lvlText w:val="%1%2%3%4%5"/>
      <w:lvlJc w:val="left"/>
      <w:pPr>
        <w:tabs>
          <w:tab w:val="num" w:pos="0"/>
        </w:tabs>
        <w:ind w:left="1008" w:hanging="1008"/>
      </w:pPr>
      <w:rPr/>
    </w:lvl>
    <w:lvl w:ilvl="5">
      <w:start w:val="1"/>
      <w:pStyle w:val="Heading6"/>
      <w:numFmt w:val="decimal"/>
      <w:lvlText w:val="%1%2%3%4%5.%6"/>
      <w:lvlJc w:val="left"/>
      <w:pPr>
        <w:tabs>
          <w:tab w:val="num" w:pos="0"/>
        </w:tabs>
        <w:ind w:left="1152" w:hanging="1152"/>
      </w:pPr>
      <w:rPr/>
    </w:lvl>
    <w:lvl w:ilvl="6">
      <w:start w:val="1"/>
      <w:pStyle w:val="Heading7"/>
      <w:numFmt w:val="decimal"/>
      <w:lvlText w:val="%1%2%3%4%5.%6.%7"/>
      <w:lvlJc w:val="left"/>
      <w:pPr>
        <w:tabs>
          <w:tab w:val="num" w:pos="0"/>
        </w:tabs>
        <w:ind w:left="1296" w:hanging="1296"/>
      </w:pPr>
      <w:rPr/>
    </w:lvl>
    <w:lvl w:ilvl="7">
      <w:start w:val="1"/>
      <w:pStyle w:val="Heading8"/>
      <w:numFmt w:val="decimal"/>
      <w:lvlText w:val="%1%2%3%4%5.%6.%7.%8"/>
      <w:lvlJc w:val="left"/>
      <w:pPr>
        <w:tabs>
          <w:tab w:val="num" w:pos="0"/>
        </w:tabs>
        <w:ind w:left="1440" w:hanging="1440"/>
      </w:pPr>
      <w:rPr/>
    </w:lvl>
    <w:lvl w:ilvl="8">
      <w:start w:val="1"/>
      <w:pStyle w:val="Heading9"/>
      <w:numFmt w:val="decimal"/>
      <w:lvlText w:val="%1%2%3%4%5.%6.%7.%8.%9"/>
      <w:lvlJc w:val="left"/>
      <w:pPr>
        <w:tabs>
          <w:tab w:val="num" w:pos="0"/>
        </w:tabs>
        <w:ind w:left="1584" w:hanging="1584"/>
      </w:pPr>
      <w:rPr/>
    </w:lvl>
  </w:abstractNum>
  <w:abstractNum w:abstractNumId="2">
    <w:lvl w:ilvl="0">
      <w:start w:val="1"/>
      <w:numFmt w:val="decimal"/>
      <w:lvlText w:val="%1."/>
      <w:lvlJc w:val="left"/>
      <w:pPr>
        <w:tabs>
          <w:tab w:val="num" w:pos="0"/>
        </w:tabs>
        <w:ind w:left="0" w:hanging="0"/>
      </w:pPr>
      <w:rPr/>
    </w:lvl>
    <w:lvl w:ilvl="1">
      <w:start w:val="1"/>
      <w:numFmt w:val="decimal"/>
      <w:lvlText w:val="%1.%2."/>
      <w:lvlJc w:val="left"/>
      <w:pPr>
        <w:tabs>
          <w:tab w:val="num" w:pos="0"/>
        </w:tabs>
        <w:ind w:left="1440" w:hanging="720"/>
      </w:pPr>
      <w:rPr/>
    </w:lvl>
    <w:lvl w:ilvl="2">
      <w:start w:val="1"/>
      <w:numFmt w:val="decimal"/>
      <w:lvlText w:val="%1.%2.%3"/>
      <w:lvlJc w:val="left"/>
      <w:pPr>
        <w:tabs>
          <w:tab w:val="num" w:pos="0"/>
        </w:tabs>
        <w:ind w:left="2160" w:hanging="720"/>
      </w:pPr>
      <w:rPr/>
    </w:lvl>
    <w:lvl w:ilvl="3">
      <w:start w:val="1"/>
      <w:numFmt w:val="decimal"/>
      <w:lvlText w:val="%1.%2.%3.%4"/>
      <w:lvlJc w:val="left"/>
      <w:pPr>
        <w:tabs>
          <w:tab w:val="num" w:pos="0"/>
        </w:tabs>
        <w:ind w:left="3240" w:hanging="1080"/>
      </w:pPr>
      <w:rPr/>
    </w:lvl>
    <w:lvl w:ilvl="4">
      <w:start w:val="1"/>
      <w:numFmt w:val="decimal"/>
      <w:lvlText w:val="%1.%2.%3.%4.%5"/>
      <w:lvlJc w:val="left"/>
      <w:pPr>
        <w:tabs>
          <w:tab w:val="num" w:pos="0"/>
        </w:tabs>
        <w:ind w:left="3960" w:hanging="1080"/>
      </w:pPr>
      <w:rPr/>
    </w:lvl>
    <w:lvl w:ilvl="5">
      <w:start w:val="1"/>
      <w:numFmt w:val="decimal"/>
      <w:lvlText w:val="%1.%2.%3.%4.%5.%6"/>
      <w:lvlJc w:val="left"/>
      <w:pPr>
        <w:tabs>
          <w:tab w:val="num" w:pos="0"/>
        </w:tabs>
        <w:ind w:left="4968" w:hanging="1368"/>
      </w:pPr>
      <w:rPr/>
    </w:lvl>
    <w:lvl w:ilvl="6">
      <w:start w:val="1"/>
      <w:numFmt w:val="decimal"/>
      <w:lvlText w:val="%1.%2.%3.%4.%5.%6.%7"/>
      <w:lvlJc w:val="left"/>
      <w:pPr>
        <w:tabs>
          <w:tab w:val="num" w:pos="0"/>
        </w:tabs>
        <w:ind w:left="5976" w:hanging="1656"/>
      </w:pPr>
      <w:rPr/>
    </w:lvl>
    <w:lvl w:ilvl="7">
      <w:start w:val="1"/>
      <w:numFmt w:val="decimal"/>
      <w:lvlText w:val="%1.%2.%3.%4.%5.%6.%7.%8"/>
      <w:lvlJc w:val="left"/>
      <w:pPr>
        <w:tabs>
          <w:tab w:val="num" w:pos="0"/>
        </w:tabs>
        <w:ind w:left="6696" w:hanging="1656"/>
      </w:pPr>
      <w:rPr/>
    </w:lvl>
    <w:lvl w:ilvl="8">
      <w:start w:val="1"/>
      <w:numFmt w:val="decimal"/>
      <w:lvlText w:val="%1.%2.%3.%4.%5.%6.%7.%8.%9"/>
      <w:lvlJc w:val="left"/>
      <w:pPr>
        <w:tabs>
          <w:tab w:val="num" w:pos="0"/>
        </w:tabs>
        <w:ind w:left="7560" w:hanging="1800"/>
      </w:pPr>
      <w:rPr/>
    </w:lvl>
  </w:abstractNum>
  <w:abstractNum w:abstractNumId="3">
    <w:lvl w:ilvl="0">
      <w:numFmt w:val="bullet"/>
      <w:lvlText w:val=""/>
      <w:lvlJc w:val="left"/>
      <w:pPr>
        <w:tabs>
          <w:tab w:val="num" w:pos="0"/>
        </w:tabs>
        <w:ind w:left="1209" w:hanging="360"/>
      </w:pPr>
      <w:rPr>
        <w:rFonts w:ascii="Symbol" w:hAnsi="Symbol" w:cs="Symbol" w:hint="default"/>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4">
    <w:lvl w:ilvl="0">
      <w:numFmt w:val="bullet"/>
      <w:lvlText w:val=""/>
      <w:lvlJc w:val="left"/>
      <w:pPr>
        <w:tabs>
          <w:tab w:val="num" w:pos="0"/>
        </w:tabs>
        <w:ind w:left="720" w:hanging="360"/>
      </w:pPr>
      <w:rPr>
        <w:rFonts w:ascii="Symbol" w:hAnsi="Symbol" w:cs="Symbol" w:hint="default"/>
      </w:rPr>
    </w:lvl>
    <w:lvl w:ilvl="1">
      <w:start w:val="0"/>
      <w:numFmt w:val="bullet"/>
      <w:lvlText w:val=""/>
      <w:lvlJc w:val="left"/>
      <w:pPr>
        <w:tabs>
          <w:tab w:val="num" w:pos="0"/>
        </w:tabs>
        <w:ind w:left="1440" w:hanging="360"/>
      </w:pPr>
      <w:rPr>
        <w:rFonts w:ascii="Symbol" w:hAnsi="Symbol" w:cs="Symbol" w:hint="default"/>
        <w:sz w:val="24"/>
        <w:color w:val="auto"/>
      </w:rPr>
    </w:lvl>
    <w:lvl w:ilvl="2">
      <w:start w:val="0"/>
      <w:numFmt w:val="bullet"/>
      <w:lvlText w:val=""/>
      <w:lvlJc w:val="left"/>
      <w:pPr>
        <w:tabs>
          <w:tab w:val="num" w:pos="0"/>
        </w:tabs>
        <w:ind w:left="2160" w:hanging="360"/>
      </w:pPr>
      <w:rPr>
        <w:rFonts w:ascii="Wingdings" w:hAnsi="Wingdings" w:cs="Wingdings" w:hint="default"/>
      </w:rPr>
    </w:lvl>
    <w:lvl w:ilvl="3">
      <w:start w:val="0"/>
      <w:numFmt w:val="bullet"/>
      <w:lvlText w:val=""/>
      <w:lvlJc w:val="left"/>
      <w:pPr>
        <w:tabs>
          <w:tab w:val="num" w:pos="0"/>
        </w:tabs>
        <w:ind w:left="2880" w:hanging="360"/>
      </w:pPr>
      <w:rPr>
        <w:rFonts w:ascii="Symbol" w:hAnsi="Symbol" w:cs="Symbol" w:hint="default"/>
      </w:rPr>
    </w:lvl>
    <w:lvl w:ilvl="4">
      <w:start w:val="0"/>
      <w:numFmt w:val="bullet"/>
      <w:lvlText w:val="o"/>
      <w:lvlJc w:val="left"/>
      <w:pPr>
        <w:tabs>
          <w:tab w:val="num" w:pos="0"/>
        </w:tabs>
        <w:ind w:left="3600" w:hanging="360"/>
      </w:pPr>
      <w:rPr>
        <w:rFonts w:ascii="Courier New" w:hAnsi="Courier New" w:cs="Courier New" w:hint="default"/>
      </w:rPr>
    </w:lvl>
    <w:lvl w:ilvl="5">
      <w:start w:val="0"/>
      <w:numFmt w:val="bullet"/>
      <w:lvlText w:val=""/>
      <w:lvlJc w:val="left"/>
      <w:pPr>
        <w:tabs>
          <w:tab w:val="num" w:pos="0"/>
        </w:tabs>
        <w:ind w:left="4320" w:hanging="360"/>
      </w:pPr>
      <w:rPr>
        <w:rFonts w:ascii="Wingdings" w:hAnsi="Wingdings" w:cs="Wingdings" w:hint="default"/>
      </w:rPr>
    </w:lvl>
    <w:lvl w:ilvl="6">
      <w:start w:val="0"/>
      <w:numFmt w:val="bullet"/>
      <w:lvlText w:val=""/>
      <w:lvlJc w:val="left"/>
      <w:pPr>
        <w:tabs>
          <w:tab w:val="num" w:pos="0"/>
        </w:tabs>
        <w:ind w:left="5040" w:hanging="360"/>
      </w:pPr>
      <w:rPr>
        <w:rFonts w:ascii="Symbol" w:hAnsi="Symbol" w:cs="Symbol" w:hint="default"/>
      </w:rPr>
    </w:lvl>
    <w:lvl w:ilvl="7">
      <w:start w:val="0"/>
      <w:numFmt w:val="bullet"/>
      <w:lvlText w:val="o"/>
      <w:lvlJc w:val="left"/>
      <w:pPr>
        <w:tabs>
          <w:tab w:val="num" w:pos="0"/>
        </w:tabs>
        <w:ind w:left="5760" w:hanging="360"/>
      </w:pPr>
      <w:rPr>
        <w:rFonts w:ascii="Courier New" w:hAnsi="Courier New" w:cs="Courier New" w:hint="default"/>
      </w:rPr>
    </w:lvl>
    <w:lvl w:ilvl="8">
      <w:start w:val="0"/>
      <w:numFmt w:val="bullet"/>
      <w:lvlText w:val=""/>
      <w:lvlJc w:val="left"/>
      <w:pPr>
        <w:tabs>
          <w:tab w:val="num" w:pos="0"/>
        </w:tabs>
        <w:ind w:left="6480" w:hanging="360"/>
      </w:pPr>
      <w:rPr>
        <w:rFonts w:ascii="Wingdings" w:hAnsi="Wingdings" w:cs="Wingdings" w:hint="default"/>
      </w:rPr>
    </w:lvl>
  </w:abstractNum>
  <w:abstractNum w:abstractNumId="5">
    <w:lvl w:ilvl="0">
      <w:numFmt w:val="bullet"/>
      <w:lvlText w:val=""/>
      <w:lvlJc w:val="left"/>
      <w:pPr>
        <w:tabs>
          <w:tab w:val="num" w:pos="0"/>
        </w:tabs>
        <w:ind w:left="643" w:hanging="360"/>
      </w:pPr>
      <w:rPr>
        <w:rFonts w:ascii="Symbol" w:hAnsi="Symbol" w:cs="Symbol" w:hint="default"/>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6">
    <w:lvl w:ilvl="0">
      <w:numFmt w:val="bullet"/>
      <w:lvlText w:val=""/>
      <w:lvlJc w:val="left"/>
      <w:pPr>
        <w:tabs>
          <w:tab w:val="num" w:pos="0"/>
        </w:tabs>
        <w:ind w:left="926" w:hanging="360"/>
      </w:pPr>
      <w:rPr>
        <w:rFonts w:ascii="Symbol" w:hAnsi="Symbol" w:cs="Symbol" w:hint="default"/>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7">
    <w:lvl w:ilvl="0">
      <w:numFmt w:val="bullet"/>
      <w:lvlText w:val=""/>
      <w:lvlJc w:val="left"/>
      <w:pPr>
        <w:tabs>
          <w:tab w:val="num" w:pos="0"/>
        </w:tabs>
        <w:ind w:left="720" w:hanging="360"/>
      </w:pPr>
      <w:rPr>
        <w:rFonts w:ascii="Symbol" w:hAnsi="Symbol" w:cs="Symbol" w:hint="default"/>
      </w:rPr>
    </w:lvl>
    <w:lvl w:ilvl="1">
      <w:start w:val="0"/>
      <w:numFmt w:val="bullet"/>
      <w:lvlText w:val=""/>
      <w:lvlJc w:val="left"/>
      <w:pPr>
        <w:tabs>
          <w:tab w:val="num" w:pos="0"/>
        </w:tabs>
        <w:ind w:left="1440" w:hanging="360"/>
      </w:pPr>
      <w:rPr>
        <w:rFonts w:ascii="Symbol" w:hAnsi="Symbol" w:cs="Symbol" w:hint="default"/>
      </w:rPr>
    </w:lvl>
    <w:lvl w:ilvl="2">
      <w:start w:val="0"/>
      <w:numFmt w:val="bullet"/>
      <w:lvlText w:val=""/>
      <w:lvlJc w:val="left"/>
      <w:pPr>
        <w:tabs>
          <w:tab w:val="num" w:pos="0"/>
        </w:tabs>
        <w:ind w:left="2160" w:hanging="360"/>
      </w:pPr>
      <w:rPr>
        <w:rFonts w:ascii="Wingdings" w:hAnsi="Wingdings" w:cs="Wingdings" w:hint="default"/>
      </w:rPr>
    </w:lvl>
    <w:lvl w:ilvl="3">
      <w:start w:val="0"/>
      <w:numFmt w:val="bullet"/>
      <w:lvlText w:val=""/>
      <w:lvlJc w:val="left"/>
      <w:pPr>
        <w:tabs>
          <w:tab w:val="num" w:pos="0"/>
        </w:tabs>
        <w:ind w:left="2880" w:hanging="360"/>
      </w:pPr>
      <w:rPr>
        <w:rFonts w:ascii="Symbol" w:hAnsi="Symbol" w:cs="Symbol" w:hint="default"/>
      </w:rPr>
    </w:lvl>
    <w:lvl w:ilvl="4">
      <w:start w:val="0"/>
      <w:numFmt w:val="bullet"/>
      <w:lvlText w:val="o"/>
      <w:lvlJc w:val="left"/>
      <w:pPr>
        <w:tabs>
          <w:tab w:val="num" w:pos="0"/>
        </w:tabs>
        <w:ind w:left="3600" w:hanging="360"/>
      </w:pPr>
      <w:rPr>
        <w:rFonts w:ascii="Courier New" w:hAnsi="Courier New" w:cs="Courier New" w:hint="default"/>
      </w:rPr>
    </w:lvl>
    <w:lvl w:ilvl="5">
      <w:start w:val="0"/>
      <w:numFmt w:val="bullet"/>
      <w:lvlText w:val=""/>
      <w:lvlJc w:val="left"/>
      <w:pPr>
        <w:tabs>
          <w:tab w:val="num" w:pos="0"/>
        </w:tabs>
        <w:ind w:left="4320" w:hanging="360"/>
      </w:pPr>
      <w:rPr>
        <w:rFonts w:ascii="Wingdings" w:hAnsi="Wingdings" w:cs="Wingdings" w:hint="default"/>
      </w:rPr>
    </w:lvl>
    <w:lvl w:ilvl="6">
      <w:start w:val="0"/>
      <w:numFmt w:val="bullet"/>
      <w:lvlText w:val=""/>
      <w:lvlJc w:val="left"/>
      <w:pPr>
        <w:tabs>
          <w:tab w:val="num" w:pos="0"/>
        </w:tabs>
        <w:ind w:left="5040" w:hanging="360"/>
      </w:pPr>
      <w:rPr>
        <w:rFonts w:ascii="Symbol" w:hAnsi="Symbol" w:cs="Symbol" w:hint="default"/>
      </w:rPr>
    </w:lvl>
    <w:lvl w:ilvl="7">
      <w:start w:val="0"/>
      <w:numFmt w:val="bullet"/>
      <w:lvlText w:val="o"/>
      <w:lvlJc w:val="left"/>
      <w:pPr>
        <w:tabs>
          <w:tab w:val="num" w:pos="0"/>
        </w:tabs>
        <w:ind w:left="5760" w:hanging="360"/>
      </w:pPr>
      <w:rPr>
        <w:rFonts w:ascii="Courier New" w:hAnsi="Courier New" w:cs="Courier New" w:hint="default"/>
      </w:rPr>
    </w:lvl>
    <w:lvl w:ilvl="8">
      <w:start w:val="0"/>
      <w:numFmt w:val="bullet"/>
      <w:lvlText w:val=""/>
      <w:lvlJc w:val="left"/>
      <w:pPr>
        <w:tabs>
          <w:tab w:val="num" w:pos="0"/>
        </w:tabs>
        <w:ind w:left="6480" w:hanging="360"/>
      </w:pPr>
      <w:rPr>
        <w:rFonts w:ascii="Wingdings" w:hAnsi="Wingdings" w:cs="Wingdings" w:hint="default"/>
      </w:rPr>
    </w:lvl>
  </w:abstractNum>
  <w:abstractNum w:abstractNumId="8">
    <w:lvl w:ilvl="0">
      <w:start w:val="1"/>
      <w:numFmt w:val="decimal"/>
      <w:lvlText w:val="%1."/>
      <w:lvlJc w:val="left"/>
      <w:pPr>
        <w:tabs>
          <w:tab w:val="num" w:pos="0"/>
        </w:tabs>
        <w:ind w:left="0" w:hanging="0"/>
      </w:pPr>
      <w:rPr/>
    </w:lvl>
    <w:lvl w:ilvl="1">
      <w:start w:val="1"/>
      <w:numFmt w:val="lowerLetter"/>
      <w:lvlText w:val="."/>
      <w:lvlJc w:val="left"/>
      <w:pPr>
        <w:tabs>
          <w:tab w:val="num" w:pos="0"/>
        </w:tabs>
        <w:ind w:left="1440" w:hanging="720"/>
      </w:pPr>
      <w:rPr/>
    </w:lvl>
    <w:lvl w:ilvl="2">
      <w:start w:val="1"/>
      <w:numFmt w:val="lowerRoman"/>
      <w:lvlText w:val=")"/>
      <w:lvlJc w:val="left"/>
      <w:pPr>
        <w:tabs>
          <w:tab w:val="num" w:pos="0"/>
        </w:tabs>
        <w:ind w:left="2160" w:hanging="720"/>
      </w:pPr>
      <w:rPr/>
    </w:lvl>
    <w:lvl w:ilvl="3">
      <w:start w:val="1"/>
      <w:numFmt w:val="lowerLetter"/>
      <w:lvlText w:val=")"/>
      <w:lvlJc w:val="left"/>
      <w:pPr>
        <w:tabs>
          <w:tab w:val="num" w:pos="0"/>
        </w:tabs>
        <w:ind w:left="2880" w:hanging="720"/>
      </w:pPr>
      <w:rPr/>
    </w:lvl>
    <w:lvl w:ilvl="4">
      <w:start w:val="1"/>
      <w:numFmt w:val="decimal"/>
      <w:lvlText w:val="()"/>
      <w:lvlJc w:val="left"/>
      <w:pPr>
        <w:tabs>
          <w:tab w:val="num" w:pos="0"/>
        </w:tabs>
        <w:ind w:left="3600" w:hanging="720"/>
      </w:pPr>
      <w:rPr/>
    </w:lvl>
    <w:lvl w:ilvl="5">
      <w:start w:val="1"/>
      <w:numFmt w:val="lowerRoman"/>
      <w:lvlText w:val="()"/>
      <w:lvlJc w:val="left"/>
      <w:pPr>
        <w:tabs>
          <w:tab w:val="num" w:pos="0"/>
        </w:tabs>
        <w:ind w:left="4320" w:hanging="720"/>
      </w:pPr>
      <w:rPr/>
    </w:lvl>
    <w:lvl w:ilvl="6">
      <w:start w:val="1"/>
      <w:numFmt w:val="decimal"/>
      <w:lvlText w:val="."/>
      <w:lvlJc w:val="left"/>
      <w:pPr>
        <w:tabs>
          <w:tab w:val="num" w:pos="0"/>
        </w:tabs>
        <w:ind w:left="5040" w:hanging="720"/>
      </w:pPr>
      <w:rPr/>
    </w:lvl>
    <w:lvl w:ilvl="7">
      <w:start w:val="1"/>
      <w:numFmt w:val="lowerLetter"/>
      <w:lvlText w:val="."/>
      <w:lvlJc w:val="left"/>
      <w:pPr>
        <w:tabs>
          <w:tab w:val="num" w:pos="0"/>
        </w:tabs>
        <w:ind w:left="5760" w:hanging="720"/>
      </w:pPr>
      <w:rPr/>
    </w:lvl>
    <w:lvl w:ilvl="8">
      <w:start w:val="1"/>
      <w:numFmt w:val="lowerRoman"/>
      <w:lvlText w:val="."/>
      <w:lvlJc w:val="left"/>
      <w:pPr>
        <w:tabs>
          <w:tab w:val="num" w:pos="0"/>
        </w:tabs>
        <w:ind w:left="6480" w:hanging="720"/>
      </w:pPr>
      <w:rPr/>
    </w:lvl>
  </w:abstractNum>
  <w:abstractNum w:abstractNumId="9">
    <w:lvl w:ilvl="0">
      <w:numFmt w:val="bullet"/>
      <w:lvlText w:val=""/>
      <w:lvlJc w:val="left"/>
      <w:pPr>
        <w:tabs>
          <w:tab w:val="num" w:pos="0"/>
        </w:tabs>
        <w:ind w:left="720" w:hanging="360"/>
      </w:pPr>
      <w:rPr>
        <w:rFonts w:ascii="Symbol" w:hAnsi="Symbol" w:cs="Symbol" w:hint="default"/>
      </w:rPr>
    </w:lvl>
    <w:lvl w:ilvl="1">
      <w:start w:val="0"/>
      <w:numFmt w:val="bullet"/>
      <w:lvlText w:val="o"/>
      <w:lvlJc w:val="left"/>
      <w:pPr>
        <w:tabs>
          <w:tab w:val="num" w:pos="0"/>
        </w:tabs>
        <w:ind w:left="1440" w:hanging="360"/>
      </w:pPr>
      <w:rPr>
        <w:rFonts w:ascii="Courier New" w:hAnsi="Courier New" w:cs="Courier New" w:hint="default"/>
      </w:rPr>
    </w:lvl>
    <w:lvl w:ilvl="2">
      <w:start w:val="0"/>
      <w:numFmt w:val="bullet"/>
      <w:lvlText w:val=""/>
      <w:lvlJc w:val="left"/>
      <w:pPr>
        <w:tabs>
          <w:tab w:val="num" w:pos="0"/>
        </w:tabs>
        <w:ind w:left="2160" w:hanging="360"/>
      </w:pPr>
      <w:rPr>
        <w:rFonts w:ascii="Marlett" w:hAnsi="Marlett" w:cs="Marlett" w:hint="default"/>
      </w:rPr>
    </w:lvl>
    <w:lvl w:ilvl="3">
      <w:start w:val="0"/>
      <w:numFmt w:val="bullet"/>
      <w:lvlText w:val=""/>
      <w:lvlJc w:val="left"/>
      <w:pPr>
        <w:tabs>
          <w:tab w:val="num" w:pos="0"/>
        </w:tabs>
        <w:ind w:left="2880" w:hanging="360"/>
      </w:pPr>
      <w:rPr>
        <w:rFonts w:ascii="Symbol" w:hAnsi="Symbol" w:cs="Symbol" w:hint="default"/>
      </w:rPr>
    </w:lvl>
    <w:lvl w:ilvl="4">
      <w:start w:val="0"/>
      <w:numFmt w:val="bullet"/>
      <w:lvlText w:val="o"/>
      <w:lvlJc w:val="left"/>
      <w:pPr>
        <w:tabs>
          <w:tab w:val="num" w:pos="0"/>
        </w:tabs>
        <w:ind w:left="3600" w:hanging="360"/>
      </w:pPr>
      <w:rPr>
        <w:rFonts w:ascii="Courier New" w:hAnsi="Courier New" w:cs="Courier New" w:hint="default"/>
      </w:rPr>
    </w:lvl>
    <w:lvl w:ilvl="5">
      <w:start w:val="0"/>
      <w:numFmt w:val="bullet"/>
      <w:lvlText w:val=""/>
      <w:lvlJc w:val="left"/>
      <w:pPr>
        <w:tabs>
          <w:tab w:val="num" w:pos="0"/>
        </w:tabs>
        <w:ind w:left="4320" w:hanging="360"/>
      </w:pPr>
      <w:rPr>
        <w:rFonts w:ascii="Marlett" w:hAnsi="Marlett" w:cs="Marlett" w:hint="default"/>
      </w:rPr>
    </w:lvl>
    <w:lvl w:ilvl="6">
      <w:start w:val="0"/>
      <w:numFmt w:val="bullet"/>
      <w:lvlText w:val=""/>
      <w:lvlJc w:val="left"/>
      <w:pPr>
        <w:tabs>
          <w:tab w:val="num" w:pos="0"/>
        </w:tabs>
        <w:ind w:left="5040" w:hanging="360"/>
      </w:pPr>
      <w:rPr>
        <w:rFonts w:ascii="Symbol" w:hAnsi="Symbol" w:cs="Symbol" w:hint="default"/>
      </w:rPr>
    </w:lvl>
    <w:lvl w:ilvl="7">
      <w:start w:val="0"/>
      <w:numFmt w:val="bullet"/>
      <w:lvlText w:val="o"/>
      <w:lvlJc w:val="left"/>
      <w:pPr>
        <w:tabs>
          <w:tab w:val="num" w:pos="0"/>
        </w:tabs>
        <w:ind w:left="5760" w:hanging="360"/>
      </w:pPr>
      <w:rPr>
        <w:rFonts w:ascii="Courier New" w:hAnsi="Courier New" w:cs="Courier New" w:hint="default"/>
      </w:rPr>
    </w:lvl>
    <w:lvl w:ilvl="8">
      <w:start w:val="0"/>
      <w:numFmt w:val="bullet"/>
      <w:lvlText w:val=""/>
      <w:lvlJc w:val="left"/>
      <w:pPr>
        <w:tabs>
          <w:tab w:val="num" w:pos="0"/>
        </w:tabs>
        <w:ind w:left="6480" w:hanging="360"/>
      </w:pPr>
      <w:rPr>
        <w:rFonts w:ascii="Marlett" w:hAnsi="Marlett" w:cs="Marlett" w:hint="default"/>
      </w:rPr>
    </w:lvl>
  </w:abstractNum>
  <w:abstractNum w:abstractNumId="10">
    <w:lvl w:ilvl="0">
      <w:start w:val="1"/>
      <w:numFmt w:val="decimal"/>
      <w:lvlText w:val="%1."/>
      <w:lvlJc w:val="left"/>
      <w:pPr>
        <w:tabs>
          <w:tab w:val="num" w:pos="0"/>
        </w:tabs>
        <w:ind w:left="0" w:hanging="0"/>
      </w:pPr>
      <w:rPr/>
    </w:lvl>
    <w:lvl w:ilvl="1">
      <w:start w:val="1"/>
      <w:numFmt w:val="lowerLetter"/>
      <w:lvlText w:val="."/>
      <w:lvlJc w:val="left"/>
      <w:pPr>
        <w:tabs>
          <w:tab w:val="num" w:pos="0"/>
        </w:tabs>
        <w:ind w:left="1440" w:hanging="720"/>
      </w:pPr>
      <w:rPr/>
    </w:lvl>
    <w:lvl w:ilvl="2">
      <w:start w:val="1"/>
      <w:numFmt w:val="lowerRoman"/>
      <w:lvlText w:val=")"/>
      <w:lvlJc w:val="left"/>
      <w:pPr>
        <w:tabs>
          <w:tab w:val="num" w:pos="0"/>
        </w:tabs>
        <w:ind w:left="2160" w:hanging="720"/>
      </w:pPr>
      <w:rPr>
        <w:sz w:val="22"/>
        <w:szCs w:val="22"/>
        <w:rFonts w:ascii="Arial" w:hAnsi="Arial"/>
        <w:color w:val="auto"/>
      </w:rPr>
    </w:lvl>
    <w:lvl w:ilvl="3">
      <w:start w:val="1"/>
      <w:numFmt w:val="lowerLetter"/>
      <w:lvlText w:val=")"/>
      <w:lvlJc w:val="left"/>
      <w:pPr>
        <w:tabs>
          <w:tab w:val="num" w:pos="0"/>
        </w:tabs>
        <w:ind w:left="2880" w:hanging="720"/>
      </w:pPr>
      <w:rPr/>
    </w:lvl>
    <w:lvl w:ilvl="4">
      <w:start w:val="1"/>
      <w:numFmt w:val="decimal"/>
      <w:lvlText w:val="()"/>
      <w:lvlJc w:val="left"/>
      <w:pPr>
        <w:tabs>
          <w:tab w:val="num" w:pos="0"/>
        </w:tabs>
        <w:ind w:left="3600" w:hanging="720"/>
      </w:pPr>
      <w:rPr/>
    </w:lvl>
    <w:lvl w:ilvl="5">
      <w:start w:val="1"/>
      <w:numFmt w:val="lowerRoman"/>
      <w:lvlText w:val="()"/>
      <w:lvlJc w:val="left"/>
      <w:pPr>
        <w:tabs>
          <w:tab w:val="num" w:pos="0"/>
        </w:tabs>
        <w:ind w:left="4320" w:hanging="720"/>
      </w:pPr>
      <w:rPr/>
    </w:lvl>
    <w:lvl w:ilvl="6">
      <w:start w:val="1"/>
      <w:numFmt w:val="decimal"/>
      <w:lvlText w:val="."/>
      <w:lvlJc w:val="left"/>
      <w:pPr>
        <w:tabs>
          <w:tab w:val="num" w:pos="0"/>
        </w:tabs>
        <w:ind w:left="5040" w:hanging="720"/>
      </w:pPr>
      <w:rPr/>
    </w:lvl>
    <w:lvl w:ilvl="7">
      <w:start w:val="1"/>
      <w:numFmt w:val="lowerLetter"/>
      <w:lvlText w:val="."/>
      <w:lvlJc w:val="left"/>
      <w:pPr>
        <w:tabs>
          <w:tab w:val="num" w:pos="0"/>
        </w:tabs>
        <w:ind w:left="5760" w:hanging="720"/>
      </w:pPr>
      <w:rPr/>
    </w:lvl>
    <w:lvl w:ilvl="8">
      <w:start w:val="1"/>
      <w:numFmt w:val="lowerRoman"/>
      <w:lvlText w:val="."/>
      <w:lvlJc w:val="left"/>
      <w:pPr>
        <w:tabs>
          <w:tab w:val="num" w:pos="0"/>
        </w:tabs>
        <w:ind w:left="6480" w:hanging="720"/>
      </w:pPr>
      <w:rPr/>
    </w:lvl>
  </w:abstractNum>
  <w:abstractNum w:abstractNumId="11">
    <w:lvl w:ilvl="0">
      <w:numFmt w:val="bullet"/>
      <w:lvlText w:val=""/>
      <w:lvlJc w:val="left"/>
      <w:pPr>
        <w:tabs>
          <w:tab w:val="num" w:pos="0"/>
        </w:tabs>
        <w:ind w:left="1080" w:hanging="360"/>
      </w:pPr>
      <w:rPr>
        <w:rFonts w:ascii="Symbol" w:hAnsi="Symbol" w:cs="Symbol" w:hint="default"/>
      </w:rPr>
    </w:lvl>
    <w:lvl w:ilvl="1">
      <w:start w:val="0"/>
      <w:numFmt w:val="bullet"/>
      <w:lvlText w:val="o"/>
      <w:lvlJc w:val="left"/>
      <w:pPr>
        <w:tabs>
          <w:tab w:val="num" w:pos="0"/>
        </w:tabs>
        <w:ind w:left="1800" w:hanging="360"/>
      </w:pPr>
      <w:rPr>
        <w:rFonts w:ascii="Courier New" w:hAnsi="Courier New" w:cs="Courier New" w:hint="default"/>
      </w:rPr>
    </w:lvl>
    <w:lvl w:ilvl="2">
      <w:start w:val="0"/>
      <w:numFmt w:val="bullet"/>
      <w:lvlText w:val=""/>
      <w:lvlJc w:val="left"/>
      <w:pPr>
        <w:tabs>
          <w:tab w:val="num" w:pos="0"/>
        </w:tabs>
        <w:ind w:left="2520" w:hanging="360"/>
      </w:pPr>
      <w:rPr>
        <w:rFonts w:ascii="Wingdings" w:hAnsi="Wingdings" w:cs="Wingdings" w:hint="default"/>
      </w:rPr>
    </w:lvl>
    <w:lvl w:ilvl="3">
      <w:start w:val="0"/>
      <w:numFmt w:val="bullet"/>
      <w:lvlText w:val=""/>
      <w:lvlJc w:val="left"/>
      <w:pPr>
        <w:tabs>
          <w:tab w:val="num" w:pos="0"/>
        </w:tabs>
        <w:ind w:left="3240" w:hanging="360"/>
      </w:pPr>
      <w:rPr>
        <w:rFonts w:ascii="Symbol" w:hAnsi="Symbol" w:cs="Symbol" w:hint="default"/>
      </w:rPr>
    </w:lvl>
    <w:lvl w:ilvl="4">
      <w:start w:val="0"/>
      <w:numFmt w:val="bullet"/>
      <w:lvlText w:val="o"/>
      <w:lvlJc w:val="left"/>
      <w:pPr>
        <w:tabs>
          <w:tab w:val="num" w:pos="0"/>
        </w:tabs>
        <w:ind w:left="3960" w:hanging="360"/>
      </w:pPr>
      <w:rPr>
        <w:rFonts w:ascii="Courier New" w:hAnsi="Courier New" w:cs="Courier New" w:hint="default"/>
      </w:rPr>
    </w:lvl>
    <w:lvl w:ilvl="5">
      <w:start w:val="0"/>
      <w:numFmt w:val="bullet"/>
      <w:lvlText w:val=""/>
      <w:lvlJc w:val="left"/>
      <w:pPr>
        <w:tabs>
          <w:tab w:val="num" w:pos="0"/>
        </w:tabs>
        <w:ind w:left="4680" w:hanging="360"/>
      </w:pPr>
      <w:rPr>
        <w:rFonts w:ascii="Wingdings" w:hAnsi="Wingdings" w:cs="Wingdings" w:hint="default"/>
      </w:rPr>
    </w:lvl>
    <w:lvl w:ilvl="6">
      <w:start w:val="0"/>
      <w:numFmt w:val="bullet"/>
      <w:lvlText w:val=""/>
      <w:lvlJc w:val="left"/>
      <w:pPr>
        <w:tabs>
          <w:tab w:val="num" w:pos="0"/>
        </w:tabs>
        <w:ind w:left="5400" w:hanging="360"/>
      </w:pPr>
      <w:rPr>
        <w:rFonts w:ascii="Symbol" w:hAnsi="Symbol" w:cs="Symbol" w:hint="default"/>
      </w:rPr>
    </w:lvl>
    <w:lvl w:ilvl="7">
      <w:start w:val="0"/>
      <w:numFmt w:val="bullet"/>
      <w:lvlText w:val="o"/>
      <w:lvlJc w:val="left"/>
      <w:pPr>
        <w:tabs>
          <w:tab w:val="num" w:pos="0"/>
        </w:tabs>
        <w:ind w:left="6120" w:hanging="360"/>
      </w:pPr>
      <w:rPr>
        <w:rFonts w:ascii="Courier New" w:hAnsi="Courier New" w:cs="Courier New" w:hint="default"/>
      </w:rPr>
    </w:lvl>
    <w:lvl w:ilvl="8">
      <w:start w:val="0"/>
      <w:numFmt w:val="bullet"/>
      <w:lvlText w:val=""/>
      <w:lvlJc w:val="left"/>
      <w:pPr>
        <w:tabs>
          <w:tab w:val="num" w:pos="0"/>
        </w:tabs>
        <w:ind w:left="6840" w:hanging="360"/>
      </w:pPr>
      <w:rPr>
        <w:rFonts w:ascii="Wingdings" w:hAnsi="Wingdings" w:cs="Wingdings" w:hint="default"/>
      </w:rPr>
    </w:lvl>
  </w:abstractNum>
  <w:abstractNum w:abstractNumId="12">
    <w:lvl w:ilvl="0">
      <w:numFmt w:val="bullet"/>
      <w:lvlText w:val=""/>
      <w:lvlJc w:val="left"/>
      <w:pPr>
        <w:tabs>
          <w:tab w:val="num" w:pos="0"/>
        </w:tabs>
        <w:ind w:left="720" w:hanging="360"/>
      </w:pPr>
      <w:rPr>
        <w:rFonts w:ascii="Symbol" w:hAnsi="Symbol" w:cs="Symbol" w:hint="default"/>
      </w:rPr>
    </w:lvl>
    <w:lvl w:ilvl="1">
      <w:start w:val="0"/>
      <w:numFmt w:val="bullet"/>
      <w:lvlText w:val="o"/>
      <w:lvlJc w:val="left"/>
      <w:pPr>
        <w:tabs>
          <w:tab w:val="num" w:pos="0"/>
        </w:tabs>
        <w:ind w:left="1440" w:hanging="360"/>
      </w:pPr>
      <w:rPr>
        <w:rFonts w:ascii="Courier New" w:hAnsi="Courier New" w:cs="Courier New" w:hint="default"/>
      </w:rPr>
    </w:lvl>
    <w:lvl w:ilvl="2">
      <w:start w:val="0"/>
      <w:numFmt w:val="bullet"/>
      <w:lvlText w:val=""/>
      <w:lvlJc w:val="left"/>
      <w:pPr>
        <w:tabs>
          <w:tab w:val="num" w:pos="0"/>
        </w:tabs>
        <w:ind w:left="2160" w:hanging="360"/>
      </w:pPr>
      <w:rPr>
        <w:rFonts w:ascii="Wingdings" w:hAnsi="Wingdings" w:cs="Wingdings" w:hint="default"/>
      </w:rPr>
    </w:lvl>
    <w:lvl w:ilvl="3">
      <w:start w:val="0"/>
      <w:numFmt w:val="bullet"/>
      <w:lvlText w:val=""/>
      <w:lvlJc w:val="left"/>
      <w:pPr>
        <w:tabs>
          <w:tab w:val="num" w:pos="0"/>
        </w:tabs>
        <w:ind w:left="2880" w:hanging="360"/>
      </w:pPr>
      <w:rPr>
        <w:rFonts w:ascii="Symbol" w:hAnsi="Symbol" w:cs="Symbol" w:hint="default"/>
      </w:rPr>
    </w:lvl>
    <w:lvl w:ilvl="4">
      <w:start w:val="0"/>
      <w:numFmt w:val="bullet"/>
      <w:lvlText w:val="o"/>
      <w:lvlJc w:val="left"/>
      <w:pPr>
        <w:tabs>
          <w:tab w:val="num" w:pos="0"/>
        </w:tabs>
        <w:ind w:left="3600" w:hanging="360"/>
      </w:pPr>
      <w:rPr>
        <w:rFonts w:ascii="Courier New" w:hAnsi="Courier New" w:cs="Courier New" w:hint="default"/>
      </w:rPr>
    </w:lvl>
    <w:lvl w:ilvl="5">
      <w:start w:val="0"/>
      <w:numFmt w:val="bullet"/>
      <w:lvlText w:val=""/>
      <w:lvlJc w:val="left"/>
      <w:pPr>
        <w:tabs>
          <w:tab w:val="num" w:pos="0"/>
        </w:tabs>
        <w:ind w:left="4320" w:hanging="360"/>
      </w:pPr>
      <w:rPr>
        <w:rFonts w:ascii="Wingdings" w:hAnsi="Wingdings" w:cs="Wingdings" w:hint="default"/>
      </w:rPr>
    </w:lvl>
    <w:lvl w:ilvl="6">
      <w:start w:val="0"/>
      <w:numFmt w:val="bullet"/>
      <w:lvlText w:val=""/>
      <w:lvlJc w:val="left"/>
      <w:pPr>
        <w:tabs>
          <w:tab w:val="num" w:pos="0"/>
        </w:tabs>
        <w:ind w:left="5040" w:hanging="360"/>
      </w:pPr>
      <w:rPr>
        <w:rFonts w:ascii="Symbol" w:hAnsi="Symbol" w:cs="Symbol" w:hint="default"/>
      </w:rPr>
    </w:lvl>
    <w:lvl w:ilvl="7">
      <w:start w:val="0"/>
      <w:numFmt w:val="bullet"/>
      <w:lvlText w:val="o"/>
      <w:lvlJc w:val="left"/>
      <w:pPr>
        <w:tabs>
          <w:tab w:val="num" w:pos="0"/>
        </w:tabs>
        <w:ind w:left="5760" w:hanging="360"/>
      </w:pPr>
      <w:rPr>
        <w:rFonts w:ascii="Courier New" w:hAnsi="Courier New" w:cs="Courier New" w:hint="default"/>
      </w:rPr>
    </w:lvl>
    <w:lvl w:ilvl="8">
      <w:start w:val="0"/>
      <w:numFmt w:val="bullet"/>
      <w:lvlText w:val=""/>
      <w:lvlJc w:val="left"/>
      <w:pPr>
        <w:tabs>
          <w:tab w:val="num" w:pos="0"/>
        </w:tabs>
        <w:ind w:left="6480" w:hanging="360"/>
      </w:pPr>
      <w:rPr>
        <w:rFonts w:ascii="Wingdings" w:hAnsi="Wingdings" w:cs="Wingdings" w:hint="default"/>
      </w:rPr>
    </w:lvl>
  </w:abstractNum>
  <w:abstractNum w:abstractNumId="1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5">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7">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w="http://schemas.openxmlformats.org/wordprocessingml/2006/main">
  <w:zoom w:percent="100"/>
  <w:defaultTabStop w:val="720"/>
  <w:autoHyphenation w:val="true"/>
  <w:hyphenationZone w:val="36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Times New Roman" w:cs="Times New Roman"/>
        <w:lang w:val="en-GB" w:eastAsia="en-GB"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88" w:before="0" w:after="240"/>
      <w:jc w:val="left"/>
    </w:pPr>
    <w:rPr>
      <w:rFonts w:ascii="Arial" w:hAnsi="Arial" w:eastAsia="Times New Roman" w:cs="Times New Roman"/>
      <w:color w:val="0D0D0D"/>
      <w:kern w:val="0"/>
      <w:sz w:val="24"/>
      <w:szCs w:val="24"/>
      <w:lang w:val="en-GB" w:eastAsia="en-GB" w:bidi="ar-SA"/>
    </w:rPr>
  </w:style>
  <w:style w:type="paragraph" w:styleId="Heading1">
    <w:name w:val="heading 1"/>
    <w:basedOn w:val="Normal"/>
    <w:next w:val="Normal"/>
    <w:uiPriority w:val="9"/>
    <w:qFormat/>
    <w:pPr>
      <w:pageBreakBefore/>
      <w:spacing w:lineRule="auto" w:line="240"/>
      <w:outlineLvl w:val="0"/>
    </w:pPr>
    <w:rPr>
      <w:b/>
      <w:color w:val="104F75"/>
      <w:sz w:val="36"/>
    </w:rPr>
  </w:style>
  <w:style w:type="paragraph" w:styleId="Heading2">
    <w:name w:val="heading 2"/>
    <w:basedOn w:val="Normal"/>
    <w:next w:val="Normal"/>
    <w:uiPriority w:val="9"/>
    <w:unhideWhenUsed/>
    <w:qFormat/>
    <w:pPr>
      <w:keepNext w:val="true"/>
      <w:spacing w:lineRule="auto" w:line="240" w:before="480" w:after="240"/>
      <w:outlineLvl w:val="1"/>
    </w:pPr>
    <w:rPr>
      <w:b/>
      <w:color w:val="104F75"/>
      <w:sz w:val="32"/>
      <w:szCs w:val="32"/>
    </w:rPr>
  </w:style>
  <w:style w:type="paragraph" w:styleId="Heading3">
    <w:name w:val="heading 3"/>
    <w:basedOn w:val="Heading2"/>
    <w:next w:val="Normal"/>
    <w:uiPriority w:val="9"/>
    <w:semiHidden/>
    <w:unhideWhenUsed/>
    <w:qFormat/>
    <w:pPr>
      <w:spacing w:before="360" w:after="240"/>
      <w:outlineLvl w:val="2"/>
    </w:pPr>
    <w:rPr>
      <w:bCs/>
      <w:sz w:val="28"/>
      <w:szCs w:val="28"/>
    </w:rPr>
  </w:style>
  <w:style w:type="paragraph" w:styleId="Heading4">
    <w:name w:val="heading 4"/>
    <w:basedOn w:val="Heading2"/>
    <w:next w:val="Normal"/>
    <w:uiPriority w:val="9"/>
    <w:semiHidden/>
    <w:unhideWhenUsed/>
    <w:qFormat/>
    <w:pPr>
      <w:spacing w:before="240" w:after="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qFormat/>
    <w:pPr>
      <w:numPr>
        <w:ilvl w:val="6"/>
        <w:numId w:val="1"/>
      </w:numPr>
      <w:spacing w:before="240" w:after="60"/>
      <w:outlineLvl w:val="6"/>
    </w:pPr>
    <w:rPr>
      <w:rFonts w:ascii="Calibri" w:hAnsi="Calibri"/>
    </w:rPr>
  </w:style>
  <w:style w:type="paragraph" w:styleId="Heading8">
    <w:name w:val="heading 8"/>
    <w:basedOn w:val="Normal"/>
    <w:next w:val="Normal"/>
    <w:qFormat/>
    <w:pPr>
      <w:numPr>
        <w:ilvl w:val="7"/>
        <w:numId w:val="1"/>
      </w:numPr>
      <w:spacing w:before="240" w:after="60"/>
      <w:outlineLvl w:val="7"/>
    </w:pPr>
    <w:rPr>
      <w:rFonts w:ascii="Calibri" w:hAnsi="Calibri"/>
      <w:i/>
      <w:iCs/>
    </w:rPr>
  </w:style>
  <w:style w:type="paragraph" w:styleId="Heading9">
    <w:name w:val="heading 9"/>
    <w:basedOn w:val="Normal"/>
    <w:next w:val="Normal"/>
    <w:qFormat/>
    <w:pPr>
      <w:numPr>
        <w:ilvl w:val="8"/>
        <w:numId w:val="1"/>
      </w:numPr>
      <w:spacing w:before="240" w:after="60"/>
      <w:outlineLvl w:val="8"/>
    </w:pPr>
    <w:rPr>
      <w:rFonts w:ascii="Cambria" w:hAnsi="Cambria"/>
      <w:szCs w:val="22"/>
    </w:rPr>
  </w:style>
  <w:style w:type="character" w:styleId="DefaultParagraphFont" w:default="1">
    <w:name w:val="Default Paragraph Font"/>
    <w:uiPriority w:val="1"/>
    <w:semiHidden/>
    <w:unhideWhenUsed/>
    <w:qFormat/>
    <w:rPr/>
  </w:style>
  <w:style w:type="character" w:styleId="Heading1Char" w:customStyle="1">
    <w:name w:val="Heading 1 Char"/>
    <w:qFormat/>
    <w:rPr>
      <w:b/>
      <w:color w:val="104F75"/>
      <w:sz w:val="36"/>
      <w:szCs w:val="24"/>
    </w:rPr>
  </w:style>
  <w:style w:type="character" w:styleId="Heading2Char" w:customStyle="1">
    <w:name w:val="Heading 2 Char"/>
    <w:qFormat/>
    <w:rPr>
      <w:b/>
      <w:color w:val="104F75"/>
      <w:sz w:val="32"/>
      <w:szCs w:val="32"/>
    </w:rPr>
  </w:style>
  <w:style w:type="character" w:styleId="Heading3Char" w:customStyle="1">
    <w:name w:val="Heading 3 Char"/>
    <w:qFormat/>
    <w:rPr>
      <w:b/>
      <w:bCs/>
      <w:color w:val="104F75"/>
      <w:sz w:val="28"/>
      <w:szCs w:val="28"/>
    </w:rPr>
  </w:style>
  <w:style w:type="character" w:styleId="Hyperlink">
    <w:name w:val="Hyperlink"/>
    <w:rPr>
      <w:rFonts w:ascii="Arial" w:hAnsi="Arial"/>
      <w:color w:val="0000FF"/>
      <w:sz w:val="24"/>
      <w:u w:val="single"/>
    </w:rPr>
  </w:style>
  <w:style w:type="character" w:styleId="TitleTextChar" w:customStyle="1">
    <w:name w:val="TitleText Char"/>
    <w:qFormat/>
    <w:rPr>
      <w:rFonts w:cs="Arial"/>
      <w:b/>
      <w:color w:val="104F75"/>
      <w:sz w:val="92"/>
      <w:szCs w:val="92"/>
    </w:rPr>
  </w:style>
  <w:style w:type="character" w:styleId="SubtitleTextChar" w:customStyle="1">
    <w:name w:val="SubtitleText Char"/>
    <w:qFormat/>
    <w:rPr>
      <w:rFonts w:cs="Arial"/>
      <w:b/>
      <w:color w:val="104F75"/>
      <w:sz w:val="48"/>
      <w:szCs w:val="48"/>
    </w:rPr>
  </w:style>
  <w:style w:type="character" w:styleId="CopyrightBoxChar" w:customStyle="1">
    <w:name w:val="CopyrightBox Char"/>
    <w:qFormat/>
    <w:rPr>
      <w:color w:val="0D0D0D"/>
      <w:sz w:val="24"/>
      <w:szCs w:val="24"/>
    </w:rPr>
  </w:style>
  <w:style w:type="character" w:styleId="CopyrightSpacingChar" w:customStyle="1">
    <w:name w:val="CopyrightSpacing Char"/>
    <w:qFormat/>
    <w:rPr>
      <w:sz w:val="24"/>
      <w:szCs w:val="24"/>
    </w:rPr>
  </w:style>
  <w:style w:type="character" w:styleId="TitleChar" w:customStyle="1">
    <w:name w:val="Title Char"/>
    <w:qFormat/>
    <w:rPr>
      <w:rFonts w:ascii="Arial" w:hAnsi="Arial" w:cs="Arial"/>
      <w:b/>
      <w:color w:val="104F75"/>
      <w:sz w:val="96"/>
      <w:szCs w:val="120"/>
      <w:lang w:eastAsia="en-US"/>
    </w:rPr>
  </w:style>
  <w:style w:type="character" w:styleId="Heading4Char" w:customStyle="1">
    <w:name w:val="Heading 4 Char"/>
    <w:qFormat/>
    <w:rPr>
      <w:b/>
      <w:bCs/>
      <w:color w:val="104F75"/>
      <w:sz w:val="24"/>
      <w:szCs w:val="28"/>
    </w:rPr>
  </w:style>
  <w:style w:type="character" w:styleId="Heading5Char" w:customStyle="1">
    <w:name w:val="Heading 5 Char"/>
    <w:qFormat/>
    <w:rPr>
      <w:rFonts w:ascii="Calibri" w:hAnsi="Calibri"/>
      <w:b/>
      <w:bCs/>
      <w:i/>
      <w:iCs/>
      <w:color w:val="0D0D0D"/>
      <w:sz w:val="26"/>
      <w:szCs w:val="26"/>
    </w:rPr>
  </w:style>
  <w:style w:type="character" w:styleId="Heading6Char" w:customStyle="1">
    <w:name w:val="Heading 6 Char"/>
    <w:qFormat/>
    <w:rPr>
      <w:rFonts w:ascii="Calibri" w:hAnsi="Calibri"/>
      <w:b/>
      <w:bCs/>
      <w:color w:val="0D0D0D"/>
      <w:sz w:val="24"/>
      <w:szCs w:val="22"/>
    </w:rPr>
  </w:style>
  <w:style w:type="character" w:styleId="Heading7Char" w:customStyle="1">
    <w:name w:val="Heading 7 Char"/>
    <w:qFormat/>
    <w:rPr>
      <w:rFonts w:ascii="Calibri" w:hAnsi="Calibri"/>
      <w:color w:val="0D0D0D"/>
      <w:sz w:val="24"/>
      <w:szCs w:val="24"/>
    </w:rPr>
  </w:style>
  <w:style w:type="character" w:styleId="Heading8Char" w:customStyle="1">
    <w:name w:val="Heading 8 Char"/>
    <w:qFormat/>
    <w:rPr>
      <w:rFonts w:ascii="Calibri" w:hAnsi="Calibri"/>
      <w:i/>
      <w:iCs/>
      <w:color w:val="0D0D0D"/>
      <w:sz w:val="24"/>
      <w:szCs w:val="24"/>
    </w:rPr>
  </w:style>
  <w:style w:type="character" w:styleId="Heading9Char" w:customStyle="1">
    <w:name w:val="Heading 9 Char"/>
    <w:qFormat/>
    <w:rPr>
      <w:rFonts w:ascii="Cambria" w:hAnsi="Cambria"/>
      <w:color w:val="0D0D0D"/>
      <w:sz w:val="24"/>
      <w:szCs w:val="22"/>
    </w:rPr>
  </w:style>
  <w:style w:type="character" w:styleId="BodyTextChar" w:customStyle="1">
    <w:name w:val="Body Text Char"/>
    <w:basedOn w:val="DefaultParagraphFont"/>
    <w:qFormat/>
    <w:rPr>
      <w:color w:val="0D0D0D"/>
      <w:sz w:val="24"/>
      <w:szCs w:val="24"/>
    </w:rPr>
  </w:style>
  <w:style w:type="character" w:styleId="BalloonTextChar" w:customStyle="1">
    <w:name w:val="Balloon Text Char"/>
    <w:qFormat/>
    <w:rPr>
      <w:rFonts w:ascii="Tahoma" w:hAnsi="Tahoma" w:cs="Tahoma"/>
      <w:sz w:val="16"/>
      <w:szCs w:val="16"/>
    </w:rPr>
  </w:style>
  <w:style w:type="character" w:styleId="TableRowChar" w:customStyle="1">
    <w:name w:val="TableRow Char"/>
    <w:qFormat/>
    <w:rPr>
      <w:color w:val="0D0D0D"/>
      <w:sz w:val="24"/>
      <w:szCs w:val="24"/>
    </w:rPr>
  </w:style>
  <w:style w:type="character" w:styleId="HeaderChar" w:customStyle="1">
    <w:name w:val="Header Char"/>
    <w:basedOn w:val="DefaultParagraphFont"/>
    <w:qFormat/>
    <w:rPr>
      <w:color w:val="0D0D0D"/>
      <w:sz w:val="24"/>
      <w:szCs w:val="24"/>
    </w:rPr>
  </w:style>
  <w:style w:type="character" w:styleId="FooterChar" w:customStyle="1">
    <w:name w:val="Footer Char"/>
    <w:basedOn w:val="DefaultParagraphFont"/>
    <w:qFormat/>
    <w:rPr>
      <w:color w:val="0D0D0D"/>
      <w:sz w:val="24"/>
      <w:szCs w:val="24"/>
    </w:rPr>
  </w:style>
  <w:style w:type="character" w:styleId="FollowedHyperlink">
    <w:name w:val="FollowedHyperlink"/>
    <w:basedOn w:val="DefaultParagraphFont"/>
    <w:rPr>
      <w:color w:val="0000FF"/>
      <w:u w:val="single"/>
    </w:rPr>
  </w:style>
  <w:style w:type="character" w:styleId="FootnoteTextChar" w:customStyle="1">
    <w:name w:val="Footnote Text Char"/>
    <w:basedOn w:val="DefaultParagraphFont"/>
    <w:qFormat/>
    <w:rPr/>
  </w:style>
  <w:style w:type="character" w:styleId="FootnoteCharacters">
    <w:name w:val="Footnote Characters"/>
    <w:basedOn w:val="DefaultParagraphFont"/>
    <w:qFormat/>
    <w:rPr>
      <w:vertAlign w:val="superscript"/>
    </w:rPr>
  </w:style>
  <w:style w:type="character" w:styleId="FootnoteReference">
    <w:name w:val="footnote reference"/>
    <w:rPr>
      <w:vertAlign w:val="superscript"/>
    </w:rPr>
  </w:style>
  <w:style w:type="character" w:styleId="RGB" w:customStyle="1">
    <w:name w:val="RGB"/>
    <w:basedOn w:val="DefaultParagraphFont"/>
    <w:qFormat/>
    <w:rPr>
      <w:b/>
      <w:bCs/>
      <w:sz w:val="20"/>
    </w:rPr>
  </w:style>
  <w:style w:type="character" w:styleId="RGBValues" w:customStyle="1">
    <w:name w:val="RGB Values"/>
    <w:basedOn w:val="DefaultParagraphFont"/>
    <w:qFormat/>
    <w:rPr>
      <w:sz w:val="20"/>
    </w:rPr>
  </w:style>
  <w:style w:type="character" w:styleId="CommentReference">
    <w:name w:val="annotation reference"/>
    <w:basedOn w:val="DefaultParagraphFont"/>
    <w:qFormat/>
    <w:rPr/>
  </w:style>
  <w:style w:type="character" w:styleId="CommentTextChar" w:customStyle="1">
    <w:name w:val="Comment Text Char"/>
    <w:basedOn w:val="DefaultParagraphFont"/>
    <w:qFormat/>
    <w:rPr/>
  </w:style>
  <w:style w:type="character" w:styleId="CommentSubjectChar" w:customStyle="1">
    <w:name w:val="Comment Subject Char"/>
    <w:basedOn w:val="CommentTextChar"/>
    <w:qFormat/>
    <w:rPr>
      <w:b/>
      <w:bCs/>
    </w:rPr>
  </w:style>
  <w:style w:type="character" w:styleId="DateChar" w:customStyle="1">
    <w:name w:val="Date Char"/>
    <w:basedOn w:val="DefaultParagraphFont"/>
    <w:qFormat/>
    <w:rPr>
      <w:rFonts w:cs="Arial"/>
      <w:b/>
      <w:bCs/>
      <w:color w:val="104F75"/>
      <w:sz w:val="44"/>
      <w:szCs w:val="44"/>
    </w:rPr>
  </w:style>
  <w:style w:type="character" w:styleId="SourceChar" w:customStyle="1">
    <w:name w:val="Source Char"/>
    <w:basedOn w:val="DefaultParagraphFont"/>
    <w:qFormat/>
    <w:rPr/>
  </w:style>
  <w:style w:type="character" w:styleId="DfESOutNumbered1Char" w:customStyle="1">
    <w:name w:val="DfESOutNumbered1 Char"/>
    <w:qFormat/>
    <w:rPr>
      <w:sz w:val="24"/>
      <w:szCs w:val="24"/>
    </w:rPr>
  </w:style>
  <w:style w:type="character" w:styleId="SocialMediaChar" w:customStyle="1">
    <w:name w:val="SocialMedia Char"/>
    <w:basedOn w:val="DefaultParagraphFont"/>
    <w:qFormat/>
    <w:rPr>
      <w:sz w:val="24"/>
      <w:szCs w:val="24"/>
    </w:rPr>
  </w:style>
  <w:style w:type="character" w:styleId="ReferenceChar" w:customStyle="1">
    <w:name w:val="Reference Char"/>
    <w:basedOn w:val="DefaultParagraphFont"/>
    <w:qFormat/>
    <w:rPr>
      <w:color w:val="0D0D0D"/>
      <w:sz w:val="24"/>
      <w:szCs w:val="24"/>
    </w:rPr>
  </w:style>
  <w:style w:type="character" w:styleId="LicenceChar" w:customStyle="1">
    <w:name w:val="Licence Char"/>
    <w:basedOn w:val="DefaultParagraphFont"/>
    <w:qFormat/>
    <w:rPr>
      <w:sz w:val="24"/>
      <w:szCs w:val="24"/>
    </w:rPr>
  </w:style>
  <w:style w:type="character" w:styleId="LogosChar" w:customStyle="1">
    <w:name w:val="Logos Char"/>
    <w:basedOn w:val="DefaultParagraphFont"/>
    <w:qFormat/>
    <w:rPr>
      <w:color w:val="0D0D0D"/>
      <w:sz w:val="24"/>
      <w:szCs w:val="24"/>
    </w:rPr>
  </w:style>
  <w:style w:type="character" w:styleId="DfESOutNumberedChar" w:customStyle="1">
    <w:name w:val="DfESOutNumbered Char"/>
    <w:basedOn w:val="LogosChar"/>
    <w:qFormat/>
    <w:rPr>
      <w:rFonts w:cs="Arial"/>
      <w:color w:val="0D0D0D"/>
      <w:sz w:val="22"/>
      <w:szCs w:val="24"/>
      <w:lang w:eastAsia="en-US"/>
    </w:rPr>
  </w:style>
  <w:style w:type="character" w:styleId="DeptBulletsChar" w:customStyle="1">
    <w:name w:val="DeptBullets Char"/>
    <w:basedOn w:val="LogosChar"/>
    <w:qFormat/>
    <w:rPr>
      <w:color w:val="0D0D0D"/>
      <w:sz w:val="24"/>
      <w:szCs w:val="24"/>
      <w:lang w:eastAsia="en-US"/>
    </w:rPr>
  </w:style>
  <w:style w:type="character" w:styleId="TOCHeaderChar" w:customStyle="1">
    <w:name w:val="TOC Header Char"/>
    <w:qFormat/>
    <w:rPr>
      <w:b/>
      <w:color w:val="104F75"/>
      <w:sz w:val="36"/>
      <w:szCs w:val="24"/>
    </w:rPr>
  </w:style>
  <w:style w:type="character" w:styleId="BodyTextIndentChar" w:customStyle="1">
    <w:name w:val="Body Text Indent Char"/>
    <w:basedOn w:val="DefaultParagraphFont"/>
    <w:qFormat/>
    <w:rPr>
      <w:sz w:val="24"/>
      <w:lang w:eastAsia="en-US"/>
    </w:rPr>
  </w:style>
  <w:style w:type="character" w:styleId="PageNumber">
    <w:name w:val="page number"/>
    <w:basedOn w:val="DefaultParagraphFont"/>
    <w:rPr/>
  </w:style>
  <w:style w:type="character" w:styleId="PersonalComposeStyle" w:customStyle="1">
    <w:name w:val="Personal Compose Style"/>
    <w:basedOn w:val="DefaultParagraphFont"/>
    <w:qFormat/>
    <w:rPr>
      <w:rFonts w:ascii="Arial" w:hAnsi="Arial" w:cs="Arial"/>
      <w:color w:val="auto"/>
      <w:sz w:val="20"/>
    </w:rPr>
  </w:style>
  <w:style w:type="character" w:styleId="PersonalReplyStyle" w:customStyle="1">
    <w:name w:val="Personal Reply Style"/>
    <w:basedOn w:val="DefaultParagraphFont"/>
    <w:qFormat/>
    <w:rPr>
      <w:rFonts w:ascii="Arial" w:hAnsi="Arial" w:cs="Arial"/>
      <w:color w:val="auto"/>
      <w:sz w:val="20"/>
    </w:rPr>
  </w:style>
  <w:style w:type="character" w:styleId="SubtitleChar" w:customStyle="1">
    <w:name w:val="Subtitle Char"/>
    <w:basedOn w:val="DefaultParagraphFont"/>
    <w:qFormat/>
    <w:rPr>
      <w:i/>
      <w:sz w:val="24"/>
      <w:lang w:eastAsia="en-US"/>
    </w:rPr>
  </w:style>
  <w:style w:type="character" w:styleId="UnresolvedMention">
    <w:name w:val="Unresolved Mention"/>
    <w:basedOn w:val="DefaultParagraphFont"/>
    <w:qFormat/>
    <w:rPr>
      <w:color w:val="605E5C"/>
      <w:shd w:fill="E1DFDD" w:val="clear"/>
    </w:rPr>
  </w:style>
  <w:style w:type="character" w:styleId="Mention">
    <w:name w:val="Mention"/>
    <w:basedOn w:val="DefaultParagraphFont"/>
    <w:qFormat/>
    <w:rPr>
      <w:color w:val="2B579A"/>
      <w:shd w:fill="E1DFDD" w:val="clear"/>
    </w:rPr>
  </w:style>
  <w:style w:type="character" w:styleId="ListParagraphChar" w:customStyle="1">
    <w:name w:val="List Paragraph Char"/>
    <w:basedOn w:val="DefaultParagraphFont"/>
    <w:qFormat/>
    <w:rPr>
      <w:color w:val="0D0D0D"/>
      <w:sz w:val="24"/>
      <w:szCs w:val="24"/>
    </w:rPr>
  </w:style>
  <w:style w:type="character" w:styleId="Bullets">
    <w:name w:val="Bullets"/>
    <w:qFormat/>
    <w:rPr>
      <w:rFonts w:ascii="OpenSymbol" w:hAnsi="OpenSymbol" w:eastAsia="OpenSymbol" w:cs="OpenSymbol"/>
    </w:rPr>
  </w:style>
  <w:style w:type="paragraph" w:styleId="Heading" w:customStyle="1">
    <w:name w:val="Heading"/>
    <w:basedOn w:val="Normal"/>
    <w:next w:val="Normal"/>
    <w:qFormat/>
    <w:pPr>
      <w:keepNext w:val="true"/>
      <w:keepLines/>
      <w:widowControl w:val="false"/>
      <w:overflowPunct w:val="true"/>
      <w:spacing w:lineRule="auto" w:line="240" w:before="240" w:after="240"/>
      <w:ind w:left="-720"/>
      <w:textAlignment w:val="baseline"/>
    </w:pPr>
    <w:rPr>
      <w:b/>
      <w:color w:val="auto"/>
      <w:szCs w:val="20"/>
      <w:lang w:eastAsia="en-US"/>
    </w:rPr>
  </w:style>
  <w:style w:type="paragraph" w:styleId="BodyText">
    <w:name w:val="Body Text"/>
    <w:basedOn w:val="Normal"/>
    <w:pPr>
      <w:spacing w:before="0" w:after="120"/>
    </w:pPr>
    <w:rPr/>
  </w:style>
  <w:style w:type="paragraph" w:styleId="List">
    <w:name w:val="List"/>
    <w:basedOn w:val="BodyText"/>
    <w:pPr/>
    <w:rPr>
      <w:rFonts w:cs="Lucida Sans"/>
    </w:rPr>
  </w:style>
  <w:style w:type="paragraph" w:styleId="Caption">
    <w:name w:val="caption"/>
    <w:basedOn w:val="Normal"/>
    <w:next w:val="Normal"/>
    <w:qFormat/>
    <w:pPr>
      <w:spacing w:before="120" w:after="120"/>
      <w:jc w:val="center"/>
    </w:pPr>
    <w:rPr>
      <w:b/>
      <w:bCs/>
      <w:color w:val="000000"/>
      <w:sz w:val="20"/>
      <w:szCs w:val="20"/>
    </w:rPr>
  </w:style>
  <w:style w:type="paragraph" w:styleId="Index">
    <w:name w:val="Index"/>
    <w:basedOn w:val="Normal"/>
    <w:qFormat/>
    <w:pPr>
      <w:suppressLineNumbers/>
    </w:pPr>
    <w:rPr>
      <w:rFonts w:cs="Lucida Sans"/>
    </w:rPr>
  </w:style>
  <w:style w:type="paragraph" w:styleId="IndexHeading">
    <w:name w:val="index heading"/>
    <w:basedOn w:val="Heading"/>
    <w:pPr/>
    <w:rPr/>
  </w:style>
  <w:style w:type="paragraph" w:styleId="TOCHeading">
    <w:name w:val="TOC Heading"/>
    <w:basedOn w:val="Normal"/>
    <w:next w:val="Normal"/>
    <w:qFormat/>
    <w:pPr>
      <w:pageBreakBefore/>
    </w:pPr>
    <w:rPr>
      <w:rFonts w:cs="Arial"/>
      <w:b/>
      <w:color w:val="365F91"/>
      <w:sz w:val="36"/>
      <w:szCs w:val="28"/>
      <w:lang w:eastAsia="ja-JP"/>
    </w:rPr>
  </w:style>
  <w:style w:type="paragraph" w:styleId="TitleText" w:customStyle="1">
    <w:name w:val="TitleText"/>
    <w:basedOn w:val="Normal"/>
    <w:qFormat/>
    <w:pPr>
      <w:spacing w:lineRule="auto" w:line="240" w:before="3600" w:after="240"/>
    </w:pPr>
    <w:rPr>
      <w:rFonts w:cs="Arial"/>
      <w:b/>
      <w:color w:val="104F75"/>
      <w:sz w:val="92"/>
      <w:szCs w:val="92"/>
    </w:rPr>
  </w:style>
  <w:style w:type="paragraph" w:styleId="SubtitleText" w:customStyle="1">
    <w:name w:val="SubtitleText"/>
    <w:basedOn w:val="Normal"/>
    <w:qFormat/>
    <w:pPr>
      <w:spacing w:before="0" w:after="1520"/>
    </w:pPr>
    <w:rPr>
      <w:rFonts w:cs="Arial"/>
      <w:b/>
      <w:color w:val="104F75"/>
      <w:sz w:val="48"/>
      <w:szCs w:val="48"/>
    </w:rPr>
  </w:style>
  <w:style w:type="paragraph" w:styleId="ListBullet">
    <w:name w:val="List Bullet"/>
    <w:basedOn w:val="ListBullet5"/>
    <w:pPr>
      <w:numPr>
        <w:ilvl w:val="0"/>
        <w:numId w:val="4"/>
      </w:numPr>
      <w:spacing w:before="0" w:after="140"/>
      <w:contextualSpacing/>
    </w:pPr>
    <w:rPr/>
  </w:style>
  <w:style w:type="paragraph" w:styleId="ListBullet5">
    <w:name w:val="List Bullet 5"/>
    <w:basedOn w:val="Normal"/>
    <w:pPr/>
    <w:rPr/>
  </w:style>
  <w:style w:type="paragraph" w:styleId="TOC1">
    <w:name w:val="toc 1"/>
    <w:basedOn w:val="Normal"/>
    <w:next w:val="Normal"/>
    <w:autoRedefine/>
    <w:pPr>
      <w:tabs>
        <w:tab w:val="clear" w:pos="720"/>
        <w:tab w:val="right" w:pos="9498" w:leader="none"/>
      </w:tabs>
      <w:spacing w:before="0" w:after="120"/>
    </w:pPr>
    <w:rPr/>
  </w:style>
  <w:style w:type="paragraph" w:styleId="TOC2">
    <w:name w:val="toc 2"/>
    <w:basedOn w:val="Normal"/>
    <w:next w:val="Normal"/>
    <w:autoRedefine/>
    <w:pPr>
      <w:tabs>
        <w:tab w:val="clear" w:pos="720"/>
        <w:tab w:val="right" w:pos="9498" w:leader="none"/>
      </w:tabs>
      <w:spacing w:before="0" w:after="120"/>
      <w:ind w:left="238"/>
    </w:pPr>
    <w:rPr/>
  </w:style>
  <w:style w:type="paragraph" w:styleId="TOC3">
    <w:name w:val="toc 3"/>
    <w:basedOn w:val="Normal"/>
    <w:next w:val="Normal"/>
    <w:autoRedefine/>
    <w:pPr>
      <w:tabs>
        <w:tab w:val="clear" w:pos="720"/>
        <w:tab w:val="right" w:pos="9498" w:leader="none"/>
      </w:tabs>
      <w:spacing w:before="0" w:after="120"/>
      <w:ind w:left="480"/>
    </w:pPr>
    <w:rPr/>
  </w:style>
  <w:style w:type="paragraph" w:styleId="CopyrightBox" w:customStyle="1">
    <w:name w:val="CopyrightBox"/>
    <w:basedOn w:val="Normal"/>
    <w:qFormat/>
    <w:pPr/>
    <w:rPr/>
  </w:style>
  <w:style w:type="paragraph" w:styleId="CopyrightSpacing" w:customStyle="1">
    <w:name w:val="CopyrightSpacing"/>
    <w:basedOn w:val="Normal"/>
    <w:qFormat/>
    <w:pPr>
      <w:spacing w:before="6000" w:after="120"/>
    </w:pPr>
    <w:rPr/>
  </w:style>
  <w:style w:type="paragraph" w:styleId="Title">
    <w:name w:val="Title"/>
    <w:basedOn w:val="Normal"/>
    <w:next w:val="Normal"/>
    <w:uiPriority w:val="10"/>
    <w:qFormat/>
    <w:pPr>
      <w:spacing w:lineRule="auto" w:line="240" w:before="240" w:after="240"/>
    </w:pPr>
    <w:rPr>
      <w:b/>
      <w:color w:val="104F75"/>
      <w:sz w:val="96"/>
      <w:szCs w:val="120"/>
    </w:rPr>
  </w:style>
  <w:style w:type="paragraph" w:styleId="TableofFigures">
    <w:name w:val="table of figures"/>
    <w:basedOn w:val="Normal"/>
    <w:next w:val="Normal"/>
    <w:pPr>
      <w:spacing w:before="0" w:after="120"/>
    </w:pPr>
    <w:rPr/>
  </w:style>
  <w:style w:type="paragraph" w:styleId="ListBullet4">
    <w:name w:val="List Bullet 4"/>
    <w:basedOn w:val="Normal"/>
    <w:pPr>
      <w:numPr>
        <w:ilvl w:val="0"/>
        <w:numId w:val="3"/>
      </w:numPr>
      <w:spacing w:before="0" w:after="240"/>
      <w:contextualSpacing/>
    </w:pPr>
    <w:rPr/>
  </w:style>
  <w:style w:type="paragraph" w:styleId="ListParagraph">
    <w:name w:val="List Paragraph"/>
    <w:basedOn w:val="Normal"/>
    <w:qFormat/>
    <w:pPr>
      <w:numPr>
        <w:ilvl w:val="0"/>
        <w:numId w:val="7"/>
      </w:numPr>
      <w:spacing w:before="0" w:after="240"/>
      <w:contextualSpacing/>
    </w:pPr>
    <w:rPr/>
  </w:style>
  <w:style w:type="paragraph" w:styleId="TableHeader" w:customStyle="1">
    <w:name w:val="TableHeader"/>
    <w:qFormat/>
    <w:pPr>
      <w:widowControl/>
      <w:suppressAutoHyphens w:val="true"/>
      <w:bidi w:val="0"/>
      <w:spacing w:before="60" w:after="60"/>
      <w:ind w:left="57" w:right="57"/>
      <w:jc w:val="center"/>
    </w:pPr>
    <w:rPr>
      <w:rFonts w:ascii="Arial" w:hAnsi="Arial" w:eastAsia="Times New Roman" w:cs="Times New Roman"/>
      <w:b/>
      <w:color w:val="0D0D0D"/>
      <w:kern w:val="0"/>
      <w:sz w:val="24"/>
      <w:szCs w:val="24"/>
      <w:lang w:val="en-GB" w:eastAsia="en-GB" w:bidi="ar-SA"/>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TableRow" w:customStyle="1">
    <w:name w:val="TableRow"/>
    <w:qFormat/>
    <w:pPr>
      <w:widowControl/>
      <w:suppressAutoHyphens w:val="true"/>
      <w:bidi w:val="0"/>
      <w:spacing w:before="60" w:after="60"/>
      <w:ind w:left="57" w:right="57"/>
      <w:jc w:val="left"/>
    </w:pPr>
    <w:rPr>
      <w:rFonts w:ascii="Arial" w:hAnsi="Arial" w:eastAsia="Times New Roman" w:cs="Times New Roman"/>
      <w:color w:val="0D0D0D"/>
      <w:kern w:val="0"/>
      <w:sz w:val="24"/>
      <w:szCs w:val="24"/>
      <w:lang w:val="en-GB" w:eastAsia="en-GB" w:bidi="ar-SA"/>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FootnoteText">
    <w:name w:val="footnote text"/>
    <w:basedOn w:val="Normal"/>
    <w:pPr>
      <w:spacing w:lineRule="auto" w:line="240" w:before="0" w:after="60"/>
    </w:pPr>
    <w:rPr>
      <w:sz w:val="20"/>
      <w:szCs w:val="20"/>
    </w:rPr>
  </w:style>
  <w:style w:type="paragraph" w:styleId="ColouredBoxHeadline" w:customStyle="1">
    <w:name w:val="Coloured Box Headline"/>
    <w:basedOn w:val="Normal"/>
    <w:qFormat/>
    <w:pPr>
      <w:spacing w:before="120" w:after="240"/>
    </w:pPr>
    <w:rPr>
      <w:b/>
      <w:bCs/>
      <w:sz w:val="28"/>
      <w:szCs w:val="20"/>
    </w:rPr>
  </w:style>
  <w:style w:type="paragraph" w:styleId="CommentText">
    <w:name w:val="annotation text"/>
    <w:basedOn w:val="Normal"/>
    <w:pPr>
      <w:spacing w:lineRule="auto" w:line="240"/>
    </w:pPr>
    <w:rPr>
      <w:sz w:val="20"/>
      <w:szCs w:val="20"/>
    </w:rPr>
  </w:style>
  <w:style w:type="paragraph" w:styleId="annotationsubject">
    <w:name w:val="annotation subject"/>
    <w:basedOn w:val="CommentText"/>
    <w:next w:val="CommentText"/>
    <w:qFormat/>
    <w:pPr/>
    <w:rPr>
      <w:b/>
      <w:bCs/>
    </w:rPr>
  </w:style>
  <w:style w:type="paragraph" w:styleId="Centredembed" w:customStyle="1">
    <w:name w:val="Centred embed"/>
    <w:basedOn w:val="Normal"/>
    <w:qFormat/>
    <w:pPr>
      <w:spacing w:before="0" w:after="0"/>
      <w:jc w:val="center"/>
    </w:pPr>
    <w:rPr>
      <w:szCs w:val="20"/>
    </w:rPr>
  </w:style>
  <w:style w:type="paragraph" w:styleId="Date">
    <w:name w:val="Date"/>
    <w:basedOn w:val="Normal"/>
    <w:next w:val="Normal"/>
    <w:qFormat/>
    <w:pPr/>
    <w:rPr>
      <w:rFonts w:cs="Arial"/>
      <w:b/>
      <w:bCs/>
      <w:color w:val="104F75"/>
      <w:sz w:val="44"/>
      <w:szCs w:val="44"/>
    </w:rPr>
  </w:style>
  <w:style w:type="paragraph" w:styleId="Source" w:customStyle="1">
    <w:name w:val="Source"/>
    <w:basedOn w:val="Normal"/>
    <w:qFormat/>
    <w:pPr>
      <w:jc w:val="right"/>
    </w:pPr>
    <w:rPr>
      <w:sz w:val="20"/>
      <w:szCs w:val="20"/>
    </w:rPr>
  </w:style>
  <w:style w:type="paragraph" w:styleId="DfESOutNumbered1" w:customStyle="1">
    <w:name w:val="DfESOutNumbered1"/>
    <w:basedOn w:val="Normal"/>
    <w:qFormat/>
    <w:pPr>
      <w:numPr>
        <w:ilvl w:val="0"/>
        <w:numId w:val="2"/>
      </w:numPr>
    </w:pPr>
    <w:rPr/>
  </w:style>
  <w:style w:type="paragraph" w:styleId="TableRowRight" w:customStyle="1">
    <w:name w:val="TableRowRight"/>
    <w:basedOn w:val="TableRow"/>
    <w:qFormat/>
    <w:pPr>
      <w:jc w:val="right"/>
    </w:pPr>
    <w:rPr>
      <w:szCs w:val="20"/>
    </w:rPr>
  </w:style>
  <w:style w:type="paragraph" w:styleId="TableRowCentered" w:customStyle="1">
    <w:name w:val="TableRowCentered"/>
    <w:basedOn w:val="TableRow"/>
    <w:qFormat/>
    <w:pPr>
      <w:jc w:val="center"/>
    </w:pPr>
    <w:rPr>
      <w:szCs w:val="20"/>
    </w:rPr>
  </w:style>
  <w:style w:type="paragraph" w:styleId="SocialMedia" w:customStyle="1">
    <w:name w:val="SocialMedia"/>
    <w:basedOn w:val="Normal"/>
    <w:qFormat/>
    <w:pPr>
      <w:tabs>
        <w:tab w:val="clear" w:pos="720"/>
        <w:tab w:val="left" w:pos="4253" w:leader="none"/>
        <w:tab w:val="left" w:pos="4820" w:leader="none"/>
      </w:tabs>
      <w:spacing w:lineRule="auto" w:line="240" w:before="0" w:after="0"/>
      <w:ind w:firstLine="34"/>
    </w:pPr>
    <w:rPr/>
  </w:style>
  <w:style w:type="paragraph" w:styleId="Reference" w:customStyle="1">
    <w:name w:val="Reference"/>
    <w:basedOn w:val="Normal"/>
    <w:qFormat/>
    <w:pPr>
      <w:tabs>
        <w:tab w:val="clear" w:pos="720"/>
        <w:tab w:val="left" w:pos="1701" w:leader="none"/>
      </w:tabs>
      <w:spacing w:before="240" w:after="240"/>
    </w:pPr>
    <w:rPr/>
  </w:style>
  <w:style w:type="paragraph" w:styleId="Licence" w:customStyle="1">
    <w:name w:val="Licence"/>
    <w:basedOn w:val="Normal"/>
    <w:qFormat/>
    <w:pPr>
      <w:tabs>
        <w:tab w:val="clear" w:pos="720"/>
        <w:tab w:val="left" w:pos="1418" w:leader="none"/>
      </w:tabs>
      <w:spacing w:before="0" w:after="240"/>
      <w:ind w:left="284"/>
      <w:contextualSpacing/>
    </w:pPr>
    <w:rPr/>
  </w:style>
  <w:style w:type="paragraph" w:styleId="LicenceIntro" w:customStyle="1">
    <w:name w:val="LicenceIntro"/>
    <w:basedOn w:val="Licence"/>
    <w:qFormat/>
    <w:pPr>
      <w:spacing w:before="0" w:after="0"/>
      <w:ind w:left="0"/>
      <w:contextualSpacing/>
    </w:pPr>
    <w:rPr>
      <w:szCs w:val="20"/>
    </w:rPr>
  </w:style>
  <w:style w:type="paragraph" w:styleId="ListBullet2">
    <w:name w:val="List Bullet 2"/>
    <w:basedOn w:val="Normal"/>
    <w:pPr>
      <w:numPr>
        <w:ilvl w:val="0"/>
        <w:numId w:val="5"/>
      </w:numPr>
      <w:tabs>
        <w:tab w:val="clear" w:pos="720"/>
        <w:tab w:val="left" w:pos="-1438" w:leader="none"/>
      </w:tabs>
      <w:spacing w:before="0" w:after="240"/>
      <w:contextualSpacing/>
    </w:pPr>
    <w:rPr/>
  </w:style>
  <w:style w:type="paragraph" w:styleId="Logos" w:customStyle="1">
    <w:name w:val="Logos"/>
    <w:basedOn w:val="Normal"/>
    <w:qFormat/>
    <w:pPr>
      <w:pageBreakBefore/>
      <w:widowControl w:val="false"/>
    </w:pPr>
    <w:rPr/>
  </w:style>
  <w:style w:type="paragraph" w:styleId="ListBullet3">
    <w:name w:val="List Bullet 3"/>
    <w:basedOn w:val="Normal"/>
    <w:pPr>
      <w:numPr>
        <w:ilvl w:val="0"/>
        <w:numId w:val="6"/>
      </w:numPr>
      <w:spacing w:before="0" w:after="240"/>
      <w:contextualSpacing/>
    </w:pPr>
    <w:rPr/>
  </w:style>
  <w:style w:type="paragraph" w:styleId="DfESOutNumbered" w:customStyle="1">
    <w:name w:val="DfESOutNumbered"/>
    <w:basedOn w:val="Normal"/>
    <w:qFormat/>
    <w:pPr>
      <w:widowControl w:val="false"/>
      <w:numPr>
        <w:ilvl w:val="0"/>
        <w:numId w:val="8"/>
      </w:numPr>
      <w:overflowPunct w:val="true"/>
      <w:spacing w:lineRule="auto" w:line="240"/>
      <w:textAlignment w:val="baseline"/>
    </w:pPr>
    <w:rPr>
      <w:rFonts w:cs="Arial"/>
      <w:color w:val="auto"/>
      <w:sz w:val="22"/>
      <w:szCs w:val="20"/>
      <w:lang w:eastAsia="en-US"/>
    </w:rPr>
  </w:style>
  <w:style w:type="paragraph" w:styleId="DeptBullets" w:customStyle="1">
    <w:name w:val="DeptBullets"/>
    <w:basedOn w:val="Normal"/>
    <w:qFormat/>
    <w:pPr>
      <w:widowControl w:val="false"/>
      <w:numPr>
        <w:ilvl w:val="0"/>
        <w:numId w:val="9"/>
      </w:numPr>
      <w:overflowPunct w:val="true"/>
      <w:spacing w:lineRule="auto" w:line="240"/>
      <w:textAlignment w:val="baseline"/>
    </w:pPr>
    <w:rPr>
      <w:color w:val="auto"/>
      <w:szCs w:val="20"/>
      <w:lang w:eastAsia="en-US"/>
    </w:rPr>
  </w:style>
  <w:style w:type="paragraph" w:styleId="TOCHeader" w:customStyle="1">
    <w:name w:val="TOC Header"/>
    <w:qFormat/>
    <w:pPr>
      <w:pageBreakBefore/>
      <w:widowControl/>
      <w:suppressAutoHyphens w:val="true"/>
      <w:bidi w:val="0"/>
      <w:spacing w:before="0" w:after="0"/>
      <w:jc w:val="left"/>
    </w:pPr>
    <w:rPr>
      <w:rFonts w:ascii="Arial" w:hAnsi="Arial" w:eastAsia="Times New Roman" w:cs="Times New Roman"/>
      <w:b/>
      <w:color w:val="104F75"/>
      <w:kern w:val="0"/>
      <w:sz w:val="36"/>
      <w:szCs w:val="24"/>
      <w:lang w:val="en-GB" w:eastAsia="en-GB" w:bidi="ar-SA"/>
    </w:rPr>
  </w:style>
  <w:style w:type="paragraph" w:styleId="BodyTextIndent">
    <w:name w:val="Body Text Indent"/>
    <w:basedOn w:val="Normal"/>
    <w:pPr>
      <w:widowControl w:val="false"/>
      <w:overflowPunct w:val="true"/>
      <w:spacing w:lineRule="auto" w:line="240" w:before="0" w:after="0"/>
      <w:ind w:left="288"/>
      <w:textAlignment w:val="baseline"/>
    </w:pPr>
    <w:rPr>
      <w:color w:val="auto"/>
      <w:szCs w:val="20"/>
      <w:lang w:eastAsia="en-US"/>
    </w:rPr>
  </w:style>
  <w:style w:type="paragraph" w:styleId="DeptOutNumbered" w:customStyle="1">
    <w:name w:val="DeptOutNumbered"/>
    <w:basedOn w:val="Normal"/>
    <w:qFormat/>
    <w:pPr>
      <w:widowControl w:val="false"/>
      <w:numPr>
        <w:ilvl w:val="0"/>
        <w:numId w:val="10"/>
      </w:numPr>
      <w:overflowPunct w:val="true"/>
      <w:spacing w:lineRule="auto" w:line="240"/>
      <w:textAlignment w:val="baseline"/>
    </w:pPr>
    <w:rPr>
      <w:color w:val="auto"/>
      <w:szCs w:val="20"/>
      <w:lang w:eastAsia="en-US"/>
    </w:rPr>
  </w:style>
  <w:style w:type="paragraph" w:styleId="MinuteTop" w:customStyle="1">
    <w:name w:val="Minute Top"/>
    <w:basedOn w:val="Normal"/>
    <w:qFormat/>
    <w:pPr>
      <w:widowControl w:val="false"/>
      <w:tabs>
        <w:tab w:val="clear" w:pos="720"/>
        <w:tab w:val="left" w:pos="4680" w:leader="none"/>
        <w:tab w:val="left" w:pos="5587" w:leader="none"/>
      </w:tabs>
      <w:overflowPunct w:val="true"/>
      <w:spacing w:lineRule="auto" w:line="240" w:before="0" w:after="0"/>
      <w:textAlignment w:val="baseline"/>
    </w:pPr>
    <w:rPr>
      <w:color w:val="auto"/>
      <w:szCs w:val="20"/>
      <w:lang w:eastAsia="en-US"/>
    </w:rPr>
  </w:style>
  <w:style w:type="paragraph" w:styleId="Numbered" w:customStyle="1">
    <w:name w:val="Numbered"/>
    <w:basedOn w:val="Normal"/>
    <w:qFormat/>
    <w:pPr>
      <w:widowControl w:val="false"/>
      <w:overflowPunct w:val="true"/>
      <w:spacing w:lineRule="auto" w:line="240"/>
      <w:textAlignment w:val="baseline"/>
    </w:pPr>
    <w:rPr>
      <w:color w:val="auto"/>
      <w:szCs w:val="20"/>
      <w:lang w:eastAsia="en-US"/>
    </w:rPr>
  </w:style>
  <w:style w:type="paragraph" w:styleId="Sub-Heading" w:customStyle="1">
    <w:name w:val="Sub-Heading"/>
    <w:basedOn w:val="Heading"/>
    <w:next w:val="Numbered"/>
    <w:qFormat/>
    <w:pPr>
      <w:spacing w:before="0" w:after="240"/>
    </w:pPr>
    <w:rPr/>
  </w:style>
  <w:style w:type="paragraph" w:styleId="Subtitle">
    <w:name w:val="Subtitle"/>
    <w:basedOn w:val="Normal"/>
    <w:uiPriority w:val="11"/>
    <w:qFormat/>
    <w:pPr>
      <w:widowControl w:val="false"/>
      <w:overflowPunct w:val="true"/>
      <w:spacing w:lineRule="auto" w:line="240" w:before="0" w:after="60"/>
      <w:jc w:val="center"/>
      <w:textAlignment w:val="baseline"/>
    </w:pPr>
    <w:rPr>
      <w:i/>
      <w:color w:val="auto"/>
      <w:szCs w:val="20"/>
      <w:lang w:eastAsia="en-US"/>
    </w:rPr>
  </w:style>
  <w:style w:type="paragraph" w:styleId="DfESBullets" w:customStyle="1">
    <w:name w:val="DfESBullets"/>
    <w:basedOn w:val="Normal"/>
    <w:qFormat/>
    <w:pPr>
      <w:widowControl w:val="false"/>
      <w:numPr>
        <w:ilvl w:val="0"/>
        <w:numId w:val="11"/>
      </w:numPr>
      <w:overflowPunct w:val="true"/>
      <w:spacing w:lineRule="auto" w:line="240"/>
      <w:textAlignment w:val="baseline"/>
    </w:pPr>
    <w:rPr>
      <w:rFonts w:cs="Arial"/>
      <w:color w:val="auto"/>
      <w:sz w:val="22"/>
      <w:szCs w:val="20"/>
      <w:lang w:eastAsia="en-US"/>
    </w:rPr>
  </w:style>
  <w:style w:type="paragraph" w:styleId="Revision">
    <w:name w:val="Revision"/>
    <w:qFormat/>
    <w:pPr>
      <w:widowControl/>
      <w:bidi w:val="0"/>
      <w:spacing w:before="0" w:after="0"/>
      <w:jc w:val="left"/>
    </w:pPr>
    <w:rPr>
      <w:rFonts w:ascii="Arial" w:hAnsi="Arial" w:eastAsia="Times New Roman" w:cs="Times New Roman"/>
      <w:color w:val="0D0D0D"/>
      <w:kern w:val="0"/>
      <w:sz w:val="24"/>
      <w:szCs w:val="24"/>
      <w:lang w:val="en-GB" w:eastAsia="en-GB" w:bidi="ar-SA"/>
    </w:rPr>
  </w:style>
  <w:style w:type="numbering" w:styleId="NoList" w:default="1">
    <w:name w:val="No List"/>
    <w:uiPriority w:val="99"/>
    <w:semiHidden/>
    <w:unhideWhenUsed/>
    <w:qFormat/>
  </w:style>
  <w:style w:type="numbering" w:styleId="WWOutlineListStyle4" w:customStyle="1">
    <w:name w:val="WW_OutlineListStyle_4"/>
    <w:qFormat/>
  </w:style>
  <w:style w:type="numbering" w:styleId="WWOutlineListStyle3" w:customStyle="1">
    <w:name w:val="WW_OutlineListStyle_3"/>
    <w:qFormat/>
  </w:style>
  <w:style w:type="numbering" w:styleId="WWOutlineListStyle2" w:customStyle="1">
    <w:name w:val="WW_OutlineListStyle_2"/>
    <w:qFormat/>
  </w:style>
  <w:style w:type="numbering" w:styleId="WWOutlineListStyle1" w:customStyle="1">
    <w:name w:val="WW_OutlineListStyle_1"/>
    <w:qFormat/>
  </w:style>
  <w:style w:type="numbering" w:styleId="WWOutlineListStyle" w:customStyle="1">
    <w:name w:val="WW_OutlineListStyle"/>
    <w:qFormat/>
  </w:style>
  <w:style w:type="numbering" w:styleId="LFO3" w:customStyle="1">
    <w:name w:val="LFO3"/>
    <w:qFormat/>
  </w:style>
  <w:style w:type="numbering" w:styleId="LFO4" w:customStyle="1">
    <w:name w:val="LFO4"/>
    <w:qFormat/>
  </w:style>
  <w:style w:type="numbering" w:styleId="LFO6" w:customStyle="1">
    <w:name w:val="LFO6"/>
    <w:qFormat/>
  </w:style>
  <w:style w:type="numbering" w:styleId="LFO9" w:customStyle="1">
    <w:name w:val="LFO9"/>
    <w:qFormat/>
  </w:style>
  <w:style w:type="numbering" w:styleId="LFO10" w:customStyle="1">
    <w:name w:val="LFO10"/>
    <w:qFormat/>
  </w:style>
  <w:style w:type="numbering" w:styleId="LFO25" w:customStyle="1">
    <w:name w:val="LFO25"/>
    <w:qFormat/>
  </w:style>
  <w:style w:type="numbering" w:styleId="LFO28" w:customStyle="1">
    <w:name w:val="LFO28"/>
    <w:qFormat/>
  </w:style>
  <w:style w:type="numbering" w:styleId="LFO30" w:customStyle="1">
    <w:name w:val="LFO30"/>
    <w:qFormat/>
  </w:style>
  <w:style w:type="numbering" w:styleId="LFO34" w:customStyle="1">
    <w:name w:val="LFO34"/>
    <w:qFormat/>
  </w:style>
  <w:style w:type="numbering" w:styleId="LFO36" w:customStyle="1">
    <w:name w:val="LFO36"/>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10</TotalTime>
  <Application>LibreOffice/25.2.7.2$Windows_X86_64 LibreOffice_project/5cbfd1ab6520636bb5f7b99185aa69bd7456825d</Application>
  <AppVersion>15.0000</AppVersion>
  <Pages>3</Pages>
  <Words>590</Words>
  <Characters>3050</Characters>
  <CharactersWithSpaces>3565</CharactersWithSpaces>
  <Paragraphs>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2024-05-15T11:53:00Z</dcterms:created>
  <dc:creator>Department for Education</dc:creator>
  <dc:description/>
  <dc:language>en-GB</dc:language>
  <cp:lastModifiedBy/>
  <cp:lastPrinted>2014-09-18T05:26:00Z</cp:lastPrinted>
  <dcterms:modified xsi:type="dcterms:W3CDTF">2026-04-26T19:54:39Z</dcterms:modified>
  <cp:revision>7</cp:revision>
  <dc:subject/>
  <dc:title>School music development plan summary template</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0x0101004A2996D1BDD7BD4E9FA3C1D724278F7C</vt:lpwstr>
  </property>
  <property fmtid="{D5CDD505-2E9C-101B-9397-08002B2CF9AE}" pid="4" name="IWPFunction">
    <vt:lpwstr/>
  </property>
  <property fmtid="{D5CDD505-2E9C-101B-9397-08002B2CF9AE}" pid="5" name="IWPGroupOOB">
    <vt:lpwstr>Communications Directorate</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RightsProtectiveMarking">
    <vt:lpwstr>2;#Official|0884c477-2e62-47ea-b19c-5af6e91124c5</vt:lpwstr>
  </property>
  <property fmtid="{D5CDD505-2E9C-101B-9397-08002B2CF9AE}" pid="9" name="IWPSiteType">
    <vt:lpwstr/>
  </property>
  <property fmtid="{D5CDD505-2E9C-101B-9397-08002B2CF9AE}" pid="10" name="IWPSubject">
    <vt:lpwstr/>
  </property>
  <property fmtid="{D5CDD505-2E9C-101B-9397-08002B2CF9AE}" pid="11" name="MediaServiceImageTags">
    <vt:lpwstr/>
  </property>
  <property fmtid="{D5CDD505-2E9C-101B-9397-08002B2CF9AE}" pid="12" name="Site">
    <vt:lpwstr>22;#Communic​ati​ons|60b3cc5e-d979-4a7a-b73d-c058e341a548</vt:lpwstr>
  </property>
  <property fmtid="{D5CDD505-2E9C-101B-9397-08002B2CF9AE}" pid="13" name="_dlc_DocIdItemGuid">
    <vt:lpwstr>f1dd1af3-30bb-446e-af34-5327635f4b16</vt:lpwstr>
  </property>
</Properties>
</file>